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3B54" w14:textId="37A9BD42" w:rsidR="00617ED6" w:rsidRPr="00097BE4" w:rsidRDefault="00170540" w:rsidP="003213AF">
      <w:pPr>
        <w:pStyle w:val="Heading4"/>
        <w:rPr>
          <w:lang w:val="en-US"/>
        </w:rPr>
      </w:pPr>
      <w:r>
        <w:t xml:space="preserve">Pedagogic case and </w:t>
      </w:r>
      <w:r w:rsidR="008D4194">
        <w:t xml:space="preserve">specific </w:t>
      </w:r>
      <w:r>
        <w:t xml:space="preserve">course in which designed tasks and units are used </w:t>
      </w:r>
    </w:p>
    <w:p w14:paraId="4E3AB565" w14:textId="35B14666" w:rsidR="00C90B56" w:rsidRDefault="00605C86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r w:rsidR="00C10FA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University of Agder</w:t>
      </w:r>
    </w:p>
    <w:p w14:paraId="04128273" w14:textId="2445BC02" w:rsidR="00CF1191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Contact person: </w:t>
      </w:r>
      <w:r w:rsidR="00C10FA5" w:rsidRPr="00C10FA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Yuriy Rogovchenko</w:t>
      </w:r>
    </w:p>
    <w:p w14:paraId="31BA46B4" w14:textId="77777777" w:rsidR="00C90B56" w:rsidRPr="00C90B56" w:rsidRDefault="00C90B56" w:rsidP="00A65F19">
      <w:pPr>
        <w:rPr>
          <w:lang w:val="en-US"/>
        </w:rPr>
      </w:pPr>
    </w:p>
    <w:tbl>
      <w:tblPr>
        <w:tblStyle w:val="TableGrid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764"/>
        <w:gridCol w:w="6242"/>
      </w:tblGrid>
      <w:tr w:rsidR="00631138" w:rsidRPr="00AE2EBD" w14:paraId="6E22524D" w14:textId="77777777" w:rsidTr="006C621B">
        <w:trPr>
          <w:trHeight w:val="644"/>
        </w:trPr>
        <w:tc>
          <w:tcPr>
            <w:tcW w:w="2802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404" w:type="dxa"/>
          </w:tcPr>
          <w:p w14:paraId="31DC5E81" w14:textId="64984C56" w:rsidR="00170540" w:rsidRPr="00BA45C1" w:rsidRDefault="00C10FA5" w:rsidP="00BA45C1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Inquiry based Multivariable Calculus</w:t>
            </w:r>
          </w:p>
        </w:tc>
      </w:tr>
      <w:tr w:rsidR="00631138" w:rsidRPr="00AE2EBD" w14:paraId="580A4219" w14:textId="77777777" w:rsidTr="008D4194">
        <w:trPr>
          <w:trHeight w:val="834"/>
        </w:trPr>
        <w:tc>
          <w:tcPr>
            <w:tcW w:w="2802" w:type="dxa"/>
            <w:shd w:val="clear" w:color="auto" w:fill="F3F3F3"/>
          </w:tcPr>
          <w:p w14:paraId="744B08AA" w14:textId="0D0B784D" w:rsidR="008D4194" w:rsidRDefault="008D4194" w:rsidP="006C621B">
            <w:pPr>
              <w:pStyle w:val="NoSpacing"/>
              <w:rPr>
                <w:lang w:val="en-US"/>
              </w:rPr>
            </w:pPr>
            <w:r w:rsidRPr="006C621B">
              <w:rPr>
                <w:rStyle w:val="Heading2Char"/>
              </w:rPr>
              <w:t>Description</w:t>
            </w:r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404" w:type="dxa"/>
          </w:tcPr>
          <w:p w14:paraId="17A19E23" w14:textId="634610ED" w:rsidR="0072627E" w:rsidRDefault="00C10FA5" w:rsidP="0072627E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We are interested in transforming traditional Multivariable Calculus into an Inquiry Based (or Active) Multivariable Calculus</w:t>
            </w:r>
            <w:r w:rsidR="00DE0096">
              <w:rPr>
                <w:lang w:val="en-US"/>
              </w:rPr>
              <w:t>.</w:t>
            </w:r>
          </w:p>
          <w:p w14:paraId="2BCD5C26" w14:textId="120438A8" w:rsidR="00C10FA5" w:rsidRDefault="00C10FA5" w:rsidP="0072627E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 ambitious goal is to have small inquiry-based tasks in every lecture and inquiry-based problems in (non-obligatory) assignments and in seminars</w:t>
            </w:r>
            <w:r w:rsidR="00DE0096">
              <w:rPr>
                <w:lang w:val="en-US"/>
              </w:rPr>
              <w:t>.</w:t>
            </w:r>
          </w:p>
          <w:p w14:paraId="6692D11E" w14:textId="77777777" w:rsidR="00C10FA5" w:rsidRDefault="00C10FA5" w:rsidP="0072627E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encourage students’ active engagement with the non-obligatory tasks and attendance during seminars, several inquiry-based problems from the assignments (chosen from textbooks other than the main textbook) will be selected for the final written exam. </w:t>
            </w:r>
            <w:r w:rsidR="00DE0096">
              <w:rPr>
                <w:lang w:val="en-US"/>
              </w:rPr>
              <w:t>S</w:t>
            </w:r>
            <w:r>
              <w:rPr>
                <w:lang w:val="en-US"/>
              </w:rPr>
              <w:t xml:space="preserve">tudents </w:t>
            </w:r>
            <w:r w:rsidR="00DE0096">
              <w:rPr>
                <w:lang w:val="en-US"/>
              </w:rPr>
              <w:t>who seriously engage in solution of assignments will be provided feedback on their work.</w:t>
            </w:r>
          </w:p>
          <w:p w14:paraId="7D985538" w14:textId="75E829A7" w:rsidR="008F20DA" w:rsidRPr="0072627E" w:rsidRDefault="008F20DA" w:rsidP="008F20DA">
            <w:pPr>
              <w:pStyle w:val="ListParagraph"/>
              <w:rPr>
                <w:lang w:val="en-US"/>
              </w:rPr>
            </w:pPr>
            <w:bookmarkStart w:id="0" w:name="_GoBack"/>
            <w:bookmarkEnd w:id="0"/>
          </w:p>
        </w:tc>
      </w:tr>
      <w:tr w:rsidR="00631138" w:rsidRPr="00AE2EBD" w14:paraId="4C3BA4AC" w14:textId="77777777" w:rsidTr="00BA45C1">
        <w:trPr>
          <w:trHeight w:val="264"/>
        </w:trPr>
        <w:tc>
          <w:tcPr>
            <w:tcW w:w="2802" w:type="dxa"/>
            <w:shd w:val="clear" w:color="auto" w:fill="F3F3F3"/>
          </w:tcPr>
          <w:p w14:paraId="7D2A7971" w14:textId="6A512883" w:rsidR="008D4194" w:rsidRDefault="008D4194" w:rsidP="008D4194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lastRenderedPageBreak/>
              <w:t>Aim</w:t>
            </w:r>
            <w:r w:rsidR="0032578A">
              <w:rPr>
                <w:lang w:val="en-US"/>
              </w:rPr>
              <w:t xml:space="preserve"> of pedagogic case</w:t>
            </w:r>
          </w:p>
        </w:tc>
        <w:tc>
          <w:tcPr>
            <w:tcW w:w="6404" w:type="dxa"/>
          </w:tcPr>
          <w:p w14:paraId="6181D0FF" w14:textId="3ABA4EB4" w:rsidR="0072627E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Facilitate understanding of the main concepts in Multivariable Calculus and improve retention of the basic notions and ideas</w:t>
            </w:r>
          </w:p>
        </w:tc>
      </w:tr>
      <w:tr w:rsidR="00631138" w:rsidRPr="00AE2EBD" w14:paraId="64BBBA6C" w14:textId="77777777" w:rsidTr="00BA45C1">
        <w:trPr>
          <w:trHeight w:val="400"/>
        </w:trPr>
        <w:tc>
          <w:tcPr>
            <w:tcW w:w="2802" w:type="dxa"/>
            <w:shd w:val="clear" w:color="auto" w:fill="F3F3F3"/>
          </w:tcPr>
          <w:p w14:paraId="00873D50" w14:textId="4CF4D298" w:rsidR="008D4194" w:rsidRDefault="008D4194" w:rsidP="008D4194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404" w:type="dxa"/>
          </w:tcPr>
          <w:p w14:paraId="5C04A37B" w14:textId="77777777" w:rsidR="0072627E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Graphs of curves in two and three dimensions</w:t>
            </w:r>
          </w:p>
          <w:p w14:paraId="70F0D8B8" w14:textId="77777777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Parametric curves</w:t>
            </w:r>
          </w:p>
          <w:p w14:paraId="1AA062A0" w14:textId="01B236AE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Planes, curves and surfaces in 3D</w:t>
            </w:r>
          </w:p>
          <w:p w14:paraId="7CBE1928" w14:textId="77777777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Polar, spherical and cylindrical coordinates</w:t>
            </w:r>
          </w:p>
          <w:p w14:paraId="49A80C9C" w14:textId="77777777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Vectors in 3D and operations on vectors</w:t>
            </w:r>
          </w:p>
          <w:p w14:paraId="676088A8" w14:textId="77777777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Numerical and functional series, convergence and divergence of series</w:t>
            </w:r>
          </w:p>
          <w:p w14:paraId="1E4FEC3D" w14:textId="77777777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Multiple integrals and applications</w:t>
            </w:r>
          </w:p>
          <w:p w14:paraId="74E5E5A6" w14:textId="77777777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Line integrals</w:t>
            </w:r>
          </w:p>
          <w:p w14:paraId="57AA8A54" w14:textId="77777777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Divergence, gradient and curl</w:t>
            </w:r>
          </w:p>
          <w:p w14:paraId="5F47E8D2" w14:textId="35E6E43B" w:rsidR="00DE0096" w:rsidRPr="008A3E48" w:rsidRDefault="00DE0096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Green’s, Stokes and Gauss’ theorems</w:t>
            </w:r>
          </w:p>
        </w:tc>
      </w:tr>
      <w:tr w:rsidR="00631138" w:rsidRPr="00AE2EBD" w14:paraId="5C7D7EFD" w14:textId="77777777" w:rsidTr="001C0017">
        <w:trPr>
          <w:trHeight w:val="551"/>
        </w:trPr>
        <w:tc>
          <w:tcPr>
            <w:tcW w:w="2802" w:type="dxa"/>
            <w:shd w:val="clear" w:color="auto" w:fill="F3F3F3"/>
          </w:tcPr>
          <w:p w14:paraId="580CB679" w14:textId="33CFC771" w:rsidR="006C621B" w:rsidRDefault="006C621B" w:rsidP="008D4194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14:paraId="6866912C" w14:textId="77777777" w:rsidR="00DE0096" w:rsidRPr="00DE0096" w:rsidRDefault="00DE0096" w:rsidP="00DE0096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DE0096">
              <w:rPr>
                <w:rFonts w:eastAsia="Times New Roman" w:cs="Times New Roman"/>
                <w:color w:val="333333"/>
                <w:lang w:val="en-US" w:eastAsia="en-US"/>
              </w:rPr>
              <w:t>Bachelor's Programme in Mathematics</w:t>
            </w:r>
          </w:p>
          <w:p w14:paraId="41DC3394" w14:textId="77777777" w:rsidR="00DE0096" w:rsidRPr="00DE0096" w:rsidRDefault="00DE0096" w:rsidP="00DE0096">
            <w:pPr>
              <w:numPr>
                <w:ilvl w:val="0"/>
                <w:numId w:val="18"/>
              </w:numPr>
              <w:shd w:val="clear" w:color="auto" w:fill="FFFFFF"/>
              <w:spacing w:before="75" w:line="300" w:lineRule="atLeast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DE0096">
              <w:rPr>
                <w:rFonts w:eastAsia="Times New Roman" w:cs="Times New Roman"/>
                <w:color w:val="333333"/>
                <w:lang w:val="en-US" w:eastAsia="en-US"/>
              </w:rPr>
              <w:t>Bachelor's Programme in Mathematics and Physics</w:t>
            </w:r>
          </w:p>
          <w:p w14:paraId="37B39280" w14:textId="77777777" w:rsidR="00DE0096" w:rsidRPr="00DE0096" w:rsidRDefault="00DE0096" w:rsidP="00DE0096">
            <w:pPr>
              <w:numPr>
                <w:ilvl w:val="0"/>
                <w:numId w:val="18"/>
              </w:numPr>
              <w:shd w:val="clear" w:color="auto" w:fill="FFFFFF"/>
              <w:spacing w:before="75" w:line="300" w:lineRule="atLeast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DE0096">
              <w:rPr>
                <w:rFonts w:eastAsia="Times New Roman" w:cs="Times New Roman"/>
                <w:color w:val="333333"/>
                <w:lang w:val="en-US" w:eastAsia="en-US"/>
              </w:rPr>
              <w:t>Advanced teacher Education level 8-13, 5-year master Programme</w:t>
            </w:r>
          </w:p>
          <w:p w14:paraId="7F081B41" w14:textId="77777777" w:rsidR="00DE0096" w:rsidRPr="00DE0096" w:rsidRDefault="00DE0096" w:rsidP="00DE0096">
            <w:pPr>
              <w:numPr>
                <w:ilvl w:val="0"/>
                <w:numId w:val="18"/>
              </w:numPr>
              <w:shd w:val="clear" w:color="auto" w:fill="FFFFFF"/>
              <w:spacing w:before="75" w:line="300" w:lineRule="atLeast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DE0096">
              <w:rPr>
                <w:rFonts w:eastAsia="Times New Roman" w:cs="Times New Roman"/>
                <w:color w:val="333333"/>
                <w:lang w:val="en-US" w:eastAsia="en-US"/>
              </w:rPr>
              <w:t>Master's Programme in Mathematics Education</w:t>
            </w:r>
          </w:p>
          <w:p w14:paraId="7AC11632" w14:textId="2D59673F" w:rsidR="006C621B" w:rsidRPr="008A3E48" w:rsidRDefault="00DE0096" w:rsidP="00DE0096">
            <w:pPr>
              <w:numPr>
                <w:ilvl w:val="0"/>
                <w:numId w:val="18"/>
              </w:numPr>
              <w:shd w:val="clear" w:color="auto" w:fill="FFFFFF"/>
              <w:spacing w:before="75" w:line="300" w:lineRule="atLeast"/>
              <w:rPr>
                <w:lang w:val="en-US"/>
              </w:rPr>
            </w:pPr>
            <w:r w:rsidRPr="00DE0096">
              <w:rPr>
                <w:rFonts w:eastAsia="Times New Roman" w:cs="Times New Roman"/>
                <w:color w:val="333333"/>
                <w:lang w:val="en-US" w:eastAsia="en-US"/>
              </w:rPr>
              <w:t>Mathematics, 1-year Programme</w:t>
            </w:r>
          </w:p>
        </w:tc>
      </w:tr>
      <w:tr w:rsidR="00631138" w:rsidRPr="00AE2EBD" w14:paraId="75FB6198" w14:textId="77777777" w:rsidTr="00BA45C1">
        <w:trPr>
          <w:trHeight w:val="868"/>
        </w:trPr>
        <w:tc>
          <w:tcPr>
            <w:tcW w:w="2802" w:type="dxa"/>
            <w:shd w:val="clear" w:color="auto" w:fill="F3F3F3"/>
          </w:tcPr>
          <w:p w14:paraId="47D5F797" w14:textId="1A1804F3" w:rsidR="008D4194" w:rsidRDefault="008D4194" w:rsidP="008D4194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BE76871" w:rsidR="008D4194" w:rsidRP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units</w:t>
            </w:r>
          </w:p>
        </w:tc>
        <w:tc>
          <w:tcPr>
            <w:tcW w:w="6404" w:type="dxa"/>
          </w:tcPr>
          <w:p w14:paraId="5744659F" w14:textId="02471FE3" w:rsidR="004F7ECB" w:rsidRPr="008A3E48" w:rsidRDefault="008A3E48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The course MA-216 Calculus 2 taught yearly during Spring term</w:t>
            </w:r>
            <w:r w:rsidR="004F7ECB" w:rsidRPr="008A3E48">
              <w:rPr>
                <w:lang w:val="en-US"/>
              </w:rPr>
              <w:t xml:space="preserve"> </w:t>
            </w:r>
          </w:p>
        </w:tc>
      </w:tr>
      <w:tr w:rsidR="00631138" w:rsidRPr="00AE2EBD" w14:paraId="582CDA55" w14:textId="77777777" w:rsidTr="001C0017">
        <w:trPr>
          <w:trHeight w:val="1720"/>
        </w:trPr>
        <w:tc>
          <w:tcPr>
            <w:tcW w:w="2802" w:type="dxa"/>
            <w:shd w:val="clear" w:color="auto" w:fill="F3F3F3"/>
          </w:tcPr>
          <w:p w14:paraId="0B07B240" w14:textId="717CE5BE" w:rsidR="00B42D69" w:rsidRPr="00097BE4" w:rsidRDefault="008307FE" w:rsidP="008D4194">
            <w:pPr>
              <w:pStyle w:val="Heading2"/>
              <w:rPr>
                <w:lang w:val="en-US"/>
              </w:rPr>
            </w:pPr>
            <w:r w:rsidRPr="00097BE4">
              <w:rPr>
                <w:lang w:val="en-US"/>
              </w:rPr>
              <w:t>Learners profile</w:t>
            </w:r>
          </w:p>
          <w:p w14:paraId="69391824" w14:textId="3309A776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orientation, year, </w:t>
            </w:r>
          </w:p>
          <w:p w14:paraId="5744D0DB" w14:textId="146A166A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age, prior knowledge, </w:t>
            </w:r>
          </w:p>
          <w:p w14:paraId="060D3A94" w14:textId="0B648F77" w:rsidR="008307FE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other such as math anxiety, </w:t>
            </w:r>
            <w:r w:rsidR="00170540">
              <w:rPr>
                <w:lang w:val="en-US"/>
              </w:rPr>
              <w:t xml:space="preserve">special needs, </w:t>
            </w:r>
            <w:r w:rsidR="008A3E48">
              <w:rPr>
                <w:lang w:val="en-US"/>
              </w:rPr>
              <w:t>…</w:t>
            </w:r>
          </w:p>
        </w:tc>
        <w:tc>
          <w:tcPr>
            <w:tcW w:w="6404" w:type="dxa"/>
          </w:tcPr>
          <w:p w14:paraId="4ADE95FD" w14:textId="606FE386" w:rsidR="00386B02" w:rsidRPr="008A3E48" w:rsidRDefault="008A3E48" w:rsidP="008D4194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8A3E48">
              <w:rPr>
                <w:lang w:val="en-US"/>
              </w:rPr>
              <w:t>Undergraduate students in Mathematics and Physics, master student in mathematics education and advanced teacher education for senior students</w:t>
            </w:r>
          </w:p>
        </w:tc>
      </w:tr>
      <w:tr w:rsidR="00631138" w:rsidRPr="00CF29BD" w14:paraId="6D4E09BB" w14:textId="77777777" w:rsidTr="001C0017">
        <w:trPr>
          <w:trHeight w:val="1263"/>
        </w:trPr>
        <w:tc>
          <w:tcPr>
            <w:tcW w:w="2802" w:type="dxa"/>
            <w:shd w:val="clear" w:color="auto" w:fill="F3F3F3"/>
          </w:tcPr>
          <w:p w14:paraId="4BC0DD66" w14:textId="1F3408EA" w:rsidR="00B42D69" w:rsidRPr="00097BE4" w:rsidRDefault="008307FE" w:rsidP="00C153E2">
            <w:pPr>
              <w:pStyle w:val="Heading2"/>
              <w:rPr>
                <w:lang w:val="en-US"/>
              </w:rPr>
            </w:pPr>
            <w:proofErr w:type="spellStart"/>
            <w:r w:rsidRPr="00097BE4">
              <w:rPr>
                <w:lang w:val="en-US"/>
              </w:rPr>
              <w:t>Organisation</w:t>
            </w:r>
            <w:proofErr w:type="spellEnd"/>
            <w:r w:rsidR="006C621B">
              <w:rPr>
                <w:lang w:val="en-US"/>
              </w:rPr>
              <w:t xml:space="preserve"> of specific course</w:t>
            </w:r>
            <w:r w:rsidRPr="00097BE4">
              <w:rPr>
                <w:lang w:val="en-US"/>
              </w:rPr>
              <w:t xml:space="preserve"> </w:t>
            </w:r>
          </w:p>
          <w:p w14:paraId="6194272A" w14:textId="77777777" w:rsidR="00B42D69" w:rsidRPr="00097BE4" w:rsidRDefault="008307FE" w:rsidP="00B42D69">
            <w:pPr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 xml:space="preserve">/hours, </w:t>
            </w:r>
          </w:p>
          <w:p w14:paraId="61E266C2" w14:textId="02767987" w:rsidR="008307FE" w:rsidRPr="00097BE4" w:rsidRDefault="008307FE" w:rsidP="00B42D69">
            <w:pPr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14:paraId="3363DB5A" w14:textId="77777777" w:rsidR="000075A4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lang w:val="en-US"/>
              </w:rPr>
              <w:t>15 credits course</w:t>
            </w:r>
          </w:p>
          <w:p w14:paraId="1CB9E6FC" w14:textId="77777777" w:rsidR="008A3E48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lang w:val="en-US"/>
              </w:rPr>
              <w:t>13 teaching weeks</w:t>
            </w:r>
          </w:p>
          <w:p w14:paraId="1580B2F9" w14:textId="194B5D00" w:rsidR="008A3E48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lang w:val="en-US"/>
              </w:rPr>
              <w:t>78 academic hours of lectures</w:t>
            </w:r>
          </w:p>
          <w:p w14:paraId="13A19637" w14:textId="77777777" w:rsidR="008A3E48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lang w:val="en-US"/>
              </w:rPr>
              <w:t>26 academic hours of seminars</w:t>
            </w:r>
          </w:p>
          <w:p w14:paraId="4ED58183" w14:textId="77777777" w:rsidR="008A3E48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lang w:val="en-US"/>
              </w:rPr>
              <w:t>One compulsory assignment</w:t>
            </w:r>
          </w:p>
          <w:p w14:paraId="34DB3A7F" w14:textId="77777777" w:rsidR="008A3E48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lang w:val="en-US"/>
              </w:rPr>
              <w:t>Four non-compulsory assignments</w:t>
            </w:r>
          </w:p>
          <w:p w14:paraId="1223A025" w14:textId="77777777" w:rsidR="008A3E48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color w:val="333333"/>
                <w:shd w:val="clear" w:color="auto" w:fill="FFFFFF"/>
              </w:rPr>
              <w:t>Compulsory practice for students at the Advanced Teacher Education</w:t>
            </w:r>
          </w:p>
          <w:p w14:paraId="0FC40059" w14:textId="0F82112A" w:rsidR="008A3E48" w:rsidRPr="008A3E48" w:rsidRDefault="008A3E48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A3E48">
              <w:rPr>
                <w:color w:val="333333"/>
                <w:shd w:val="clear" w:color="auto" w:fill="FFFFFF"/>
              </w:rPr>
              <w:t>An</w:t>
            </w:r>
            <w:r w:rsidRPr="008A3E48">
              <w:rPr>
                <w:color w:val="333333"/>
                <w:shd w:val="clear" w:color="auto" w:fill="FFFFFF"/>
              </w:rPr>
              <w:t xml:space="preserve"> expected workload of a</w:t>
            </w:r>
            <w:r w:rsidRPr="008A3E48">
              <w:rPr>
                <w:color w:val="333333"/>
                <w:shd w:val="clear" w:color="auto" w:fill="FFFFFF"/>
              </w:rPr>
              <w:t>bout</w:t>
            </w:r>
            <w:r w:rsidRPr="008A3E48">
              <w:rPr>
                <w:color w:val="333333"/>
                <w:shd w:val="clear" w:color="auto" w:fill="FFFFFF"/>
              </w:rPr>
              <w:t xml:space="preserve"> 400 hours</w:t>
            </w:r>
          </w:p>
        </w:tc>
      </w:tr>
      <w:tr w:rsidR="00631138" w:rsidRPr="00CF29BD" w14:paraId="3883E22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610BCABE" w14:textId="2F195C46" w:rsidR="006C621B" w:rsidRPr="00097BE4" w:rsidRDefault="006C621B" w:rsidP="00C153E2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lastRenderedPageBreak/>
              <w:t>Expected learning outcomes</w:t>
            </w:r>
          </w:p>
        </w:tc>
        <w:tc>
          <w:tcPr>
            <w:tcW w:w="6404" w:type="dxa"/>
          </w:tcPr>
          <w:p w14:paraId="5B43D4F3" w14:textId="661DFD6F" w:rsidR="008A3E48" w:rsidRPr="008A3E48" w:rsidRDefault="008A3E48" w:rsidP="008A3E48">
            <w:pPr>
              <w:shd w:val="clear" w:color="auto" w:fill="FFFFFF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The student should be able to</w:t>
            </w:r>
          </w:p>
          <w:p w14:paraId="544D4D5C" w14:textId="26D5724C" w:rsidR="008A3E48" w:rsidRPr="008A3E48" w:rsidRDefault="008A3E48" w:rsidP="008A3E48">
            <w:pPr>
              <w:numPr>
                <w:ilvl w:val="0"/>
                <w:numId w:val="25"/>
              </w:numPr>
              <w:shd w:val="clear" w:color="auto" w:fill="FFFFFF"/>
              <w:spacing w:line="300" w:lineRule="atLeast"/>
              <w:ind w:left="300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decide whether a</w:t>
            </w:r>
            <w:r>
              <w:rPr>
                <w:rFonts w:eastAsia="Times New Roman" w:cs="Times New Roman"/>
                <w:color w:val="333333"/>
                <w:lang w:val="en-US" w:eastAsia="en-US"/>
              </w:rPr>
              <w:t xml:space="preserve"> numerical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series converges or diverges and to find the convergence interval for power series</w:t>
            </w:r>
          </w:p>
          <w:p w14:paraId="349DAF85" w14:textId="2892A70F" w:rsidR="008A3E48" w:rsidRPr="008A3E48" w:rsidRDefault="008A3E48" w:rsidP="008A3E48">
            <w:pPr>
              <w:numPr>
                <w:ilvl w:val="0"/>
                <w:numId w:val="25"/>
              </w:numPr>
              <w:shd w:val="clear" w:color="auto" w:fill="FFFFFF"/>
              <w:spacing w:before="75" w:line="300" w:lineRule="atLeast"/>
              <w:ind w:left="300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explain and apply the concepts</w:t>
            </w:r>
            <w:r>
              <w:rPr>
                <w:rFonts w:eastAsia="Times New Roman" w:cs="Times New Roman"/>
                <w:color w:val="333333"/>
                <w:lang w:val="en-US" w:eastAsia="en-US"/>
              </w:rPr>
              <w:t xml:space="preserve"> of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gradient, </w:t>
            </w:r>
            <w:r w:rsidR="00101FC0" w:rsidRPr="008A3E48">
              <w:rPr>
                <w:rFonts w:eastAsia="Times New Roman" w:cs="Times New Roman"/>
                <w:color w:val="333333"/>
                <w:lang w:val="en-US" w:eastAsia="en-US"/>
              </w:rPr>
              <w:t>conic section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>,</w:t>
            </w:r>
            <w:r w:rsidR="00101FC0"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parametrized curve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 xml:space="preserve"> and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surface</w:t>
            </w:r>
          </w:p>
          <w:p w14:paraId="206346C7" w14:textId="28B6A803" w:rsidR="008A3E48" w:rsidRPr="008A3E48" w:rsidRDefault="008A3E48" w:rsidP="008A3E48">
            <w:pPr>
              <w:numPr>
                <w:ilvl w:val="0"/>
                <w:numId w:val="25"/>
              </w:numPr>
              <w:shd w:val="clear" w:color="auto" w:fill="FFFFFF"/>
              <w:spacing w:before="75" w:line="300" w:lineRule="atLeast"/>
              <w:ind w:left="300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perform line-, double-, triple- and surface integration and apply 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>integrals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to find 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 xml:space="preserve">the 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arc length, area, volume and work</w:t>
            </w:r>
          </w:p>
          <w:p w14:paraId="1B9F0262" w14:textId="7AD61146" w:rsidR="008A3E48" w:rsidRPr="008A3E48" w:rsidRDefault="008A3E48" w:rsidP="008A3E48">
            <w:pPr>
              <w:numPr>
                <w:ilvl w:val="0"/>
                <w:numId w:val="25"/>
              </w:numPr>
              <w:shd w:val="clear" w:color="auto" w:fill="FFFFFF"/>
              <w:spacing w:before="75" w:line="300" w:lineRule="atLeast"/>
              <w:ind w:left="300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use digital tools to visualize surfaces and curves in 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 xml:space="preserve">3D 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space 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>and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to describe fundamental results </w:t>
            </w:r>
          </w:p>
          <w:p w14:paraId="3E2B2505" w14:textId="7FC972D4" w:rsidR="008A3E48" w:rsidRPr="008A3E48" w:rsidRDefault="008A3E48" w:rsidP="008A3E48">
            <w:pPr>
              <w:numPr>
                <w:ilvl w:val="0"/>
                <w:numId w:val="25"/>
              </w:numPr>
              <w:shd w:val="clear" w:color="auto" w:fill="FFFFFF"/>
              <w:spacing w:before="75" w:line="300" w:lineRule="atLeast"/>
              <w:ind w:left="300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use polar-, cylindric- and </w:t>
            </w:r>
            <w:r w:rsidR="00101FC0" w:rsidRPr="008A3E48">
              <w:rPr>
                <w:rFonts w:eastAsia="Times New Roman" w:cs="Times New Roman"/>
                <w:color w:val="333333"/>
                <w:lang w:val="en-US" w:eastAsia="en-US"/>
              </w:rPr>
              <w:t>spherical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coordinates 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>for evaluation of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 multiple integrals</w:t>
            </w:r>
          </w:p>
          <w:p w14:paraId="18380C3B" w14:textId="3A6A1A6C" w:rsidR="008A3E48" w:rsidRPr="008A3E48" w:rsidRDefault="008A3E48" w:rsidP="008A3E48">
            <w:pPr>
              <w:numPr>
                <w:ilvl w:val="0"/>
                <w:numId w:val="25"/>
              </w:numPr>
              <w:shd w:val="clear" w:color="auto" w:fill="FFFFFF"/>
              <w:spacing w:before="75" w:line="300" w:lineRule="atLeast"/>
              <w:ind w:left="300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 xml:space="preserve">apply Green's theorem, Stokes' theorem and the </w:t>
            </w:r>
            <w:r w:rsidR="00101FC0">
              <w:rPr>
                <w:rFonts w:eastAsia="Times New Roman" w:cs="Times New Roman"/>
                <w:color w:val="333333"/>
                <w:lang w:val="en-US" w:eastAsia="en-US"/>
              </w:rPr>
              <w:t>d</w:t>
            </w: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ivergence theorem</w:t>
            </w:r>
          </w:p>
          <w:p w14:paraId="1C6DB9F6" w14:textId="40C6E5F7" w:rsidR="005C57BE" w:rsidRPr="00E4669D" w:rsidRDefault="005C57BE" w:rsidP="008A3E48">
            <w:pPr>
              <w:ind w:left="720"/>
              <w:rPr>
                <w:lang w:val="en-US"/>
              </w:rPr>
            </w:pPr>
          </w:p>
        </w:tc>
      </w:tr>
      <w:tr w:rsidR="00631138" w:rsidRPr="00CF29BD" w14:paraId="2831E88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3347B025" w14:textId="4DB58353" w:rsidR="006C621B" w:rsidRDefault="006C621B" w:rsidP="00C153E2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14:paraId="603D3BF4" w14:textId="221F69E3" w:rsidR="00386B02" w:rsidRPr="00E4669D" w:rsidRDefault="00101FC0" w:rsidP="00E466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CAS may be used for visualization of curves</w:t>
            </w:r>
            <w:r w:rsidR="007F5505">
              <w:rPr>
                <w:lang w:val="en-US"/>
              </w:rPr>
              <w:t>,</w:t>
            </w:r>
            <w:r>
              <w:rPr>
                <w:lang w:val="en-US"/>
              </w:rPr>
              <w:t xml:space="preserve"> surfaces </w:t>
            </w:r>
            <w:r w:rsidR="007F5505">
              <w:rPr>
                <w:lang w:val="en-US"/>
              </w:rPr>
              <w:t xml:space="preserve">and regions </w:t>
            </w:r>
            <w:r>
              <w:rPr>
                <w:lang w:val="en-US"/>
              </w:rPr>
              <w:t>in 2D and 3D</w:t>
            </w:r>
            <w:r w:rsidR="007F5505">
              <w:rPr>
                <w:lang w:val="en-US"/>
              </w:rPr>
              <w:t xml:space="preserve"> as well as to illustrate/facilitate some computations</w:t>
            </w:r>
          </w:p>
        </w:tc>
      </w:tr>
      <w:tr w:rsidR="00631138" w:rsidRPr="00CF29BD" w14:paraId="5E74BA77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50AD8AA0" w14:textId="46C0DFEA" w:rsidR="006C621B" w:rsidRDefault="006C621B" w:rsidP="00C153E2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14:paraId="28A13AEF" w14:textId="236C80A1" w:rsidR="007F5505" w:rsidRDefault="007F5505" w:rsidP="000B31B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Discussion of the</w:t>
            </w:r>
            <w:r>
              <w:rPr>
                <w:lang w:val="en-US"/>
              </w:rPr>
              <w:t xml:space="preserve"> course and preliminary planning by the course team (Yuriy Rogovchenko</w:t>
            </w:r>
            <w:r w:rsidR="00631138">
              <w:rPr>
                <w:lang w:val="en-US"/>
              </w:rPr>
              <w:t xml:space="preserve"> – the lecturer, Simon Goodchild, Svitlana Rogovchenko)</w:t>
            </w:r>
          </w:p>
          <w:p w14:paraId="2E658C30" w14:textId="45BAC195" w:rsidR="000B31B9" w:rsidRDefault="007F5505" w:rsidP="000B31B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Analysis of available materials on “IBL Calculus” and “Active Calculus”, mainly in the US</w:t>
            </w:r>
          </w:p>
          <w:p w14:paraId="517D2AAD" w14:textId="77777777" w:rsidR="00631138" w:rsidRDefault="00631138" w:rsidP="000B31B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Weekly selection/design of inquiry-based tasks by the course team</w:t>
            </w:r>
          </w:p>
          <w:p w14:paraId="3C1C9FB7" w14:textId="77777777" w:rsidR="007F5505" w:rsidRDefault="00631138" w:rsidP="000B31B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Regular observation of lecturers and seminars by Simon Goodchild with the consequent discussions within the course team and eventual strategy/materials adjustments</w:t>
            </w:r>
          </w:p>
          <w:p w14:paraId="436141F2" w14:textId="77777777" w:rsidR="00631138" w:rsidRDefault="00631138" w:rsidP="000B31B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Keeping the record of all course developments including observations of mathematics educator and lecturer’s reflections</w:t>
            </w:r>
          </w:p>
          <w:p w14:paraId="2CAC0626" w14:textId="6A8ED21F" w:rsidR="00631138" w:rsidRPr="000B31B9" w:rsidRDefault="00631138" w:rsidP="000B31B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Analysis of the overall students’ performance and its comparison to that in “traditionally taught” course</w:t>
            </w:r>
          </w:p>
        </w:tc>
      </w:tr>
      <w:tr w:rsidR="00631138" w:rsidRPr="00CF29BD" w14:paraId="2F606FA6" w14:textId="77777777" w:rsidTr="001C0017">
        <w:trPr>
          <w:trHeight w:val="637"/>
        </w:trPr>
        <w:tc>
          <w:tcPr>
            <w:tcW w:w="2802" w:type="dxa"/>
            <w:shd w:val="clear" w:color="auto" w:fill="F3F3F3"/>
          </w:tcPr>
          <w:p w14:paraId="01C954FC" w14:textId="5E899DAB" w:rsidR="006C621B" w:rsidRDefault="006C621B" w:rsidP="00C153E2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 xml:space="preserve">Names of persons involved </w:t>
            </w:r>
          </w:p>
        </w:tc>
        <w:tc>
          <w:tcPr>
            <w:tcW w:w="6404" w:type="dxa"/>
          </w:tcPr>
          <w:p w14:paraId="668B6E5E" w14:textId="77777777" w:rsidR="005C57BE" w:rsidRDefault="00631138" w:rsidP="00E466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Yuriy Rogovchenko (lecturer)</w:t>
            </w:r>
          </w:p>
          <w:p w14:paraId="7D1A3291" w14:textId="77777777" w:rsidR="00631138" w:rsidRDefault="00631138" w:rsidP="00E466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Simon Goodchild (mathematics education lead)</w:t>
            </w:r>
          </w:p>
          <w:p w14:paraId="23CDF5EE" w14:textId="2A0313BA" w:rsidR="00631138" w:rsidRPr="00E4669D" w:rsidRDefault="00631138" w:rsidP="00E466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Svitlana Rogovchenko (mathematics and educational support, mediation between Simon and Yuriy)</w:t>
            </w:r>
          </w:p>
        </w:tc>
      </w:tr>
      <w:tr w:rsidR="00631138" w:rsidRPr="00AE2EBD" w14:paraId="36B0B450" w14:textId="77777777" w:rsidTr="00C3307B">
        <w:tc>
          <w:tcPr>
            <w:tcW w:w="2802" w:type="dxa"/>
            <w:shd w:val="clear" w:color="auto" w:fill="F3F3F3"/>
          </w:tcPr>
          <w:p w14:paraId="65D83C00" w14:textId="3C9629A5" w:rsidR="008307FE" w:rsidRPr="009E1A84" w:rsidRDefault="008307FE" w:rsidP="00C153E2">
            <w:pPr>
              <w:pStyle w:val="Heading2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14:paraId="3382A996" w14:textId="1928995C" w:rsidR="008307FE" w:rsidRPr="00CF1191" w:rsidRDefault="008307FE" w:rsidP="00E4669D">
            <w:pPr>
              <w:spacing w:before="200"/>
              <w:rPr>
                <w:lang w:val="en-US"/>
              </w:rPr>
            </w:pPr>
          </w:p>
        </w:tc>
      </w:tr>
      <w:tr w:rsidR="00631138" w:rsidRPr="00AE2EBD" w14:paraId="7234725E" w14:textId="77777777" w:rsidTr="00BA45C1">
        <w:trPr>
          <w:trHeight w:val="698"/>
        </w:trPr>
        <w:tc>
          <w:tcPr>
            <w:tcW w:w="2802" w:type="dxa"/>
            <w:shd w:val="clear" w:color="auto" w:fill="F3F3F3"/>
          </w:tcPr>
          <w:p w14:paraId="34022C37" w14:textId="252A06B8" w:rsidR="008307FE" w:rsidRPr="00097BE4" w:rsidRDefault="008307FE" w:rsidP="008307FE">
            <w:pPr>
              <w:ind w:left="708"/>
              <w:rPr>
                <w:lang w:val="en-US"/>
              </w:rPr>
            </w:pPr>
            <w:r w:rsidRPr="00097BE4">
              <w:rPr>
                <w:rStyle w:val="Heading3Char"/>
                <w:lang w:val="en-US"/>
              </w:rPr>
              <w:t>Learning objectives</w:t>
            </w:r>
          </w:p>
        </w:tc>
        <w:tc>
          <w:tcPr>
            <w:tcW w:w="6404" w:type="dxa"/>
          </w:tcPr>
          <w:p w14:paraId="237CCA4F" w14:textId="3D40227F" w:rsidR="001E3306" w:rsidRPr="00CF1191" w:rsidRDefault="00631138" w:rsidP="00CA5C45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Students are expected to learn the fundamental results and techniques related to</w:t>
            </w:r>
            <w:r>
              <w:rPr>
                <w:rFonts w:ascii="Conduit" w:hAnsi="Conduit"/>
                <w:color w:val="333333"/>
                <w:sz w:val="26"/>
                <w:szCs w:val="26"/>
                <w:shd w:val="clear" w:color="auto" w:fill="FFFFFF"/>
              </w:rPr>
              <w:t xml:space="preserve"> sequences and </w:t>
            </w:r>
            <w:r w:rsidRPr="00631138">
              <w:rPr>
                <w:color w:val="333333"/>
                <w:shd w:val="clear" w:color="auto" w:fill="FFFFFF"/>
              </w:rPr>
              <w:t xml:space="preserve">series, curves, surfaces, vector valued functions, </w:t>
            </w:r>
            <w:r w:rsidRPr="00631138">
              <w:rPr>
                <w:color w:val="333333"/>
                <w:shd w:val="clear" w:color="auto" w:fill="FFFFFF"/>
              </w:rPr>
              <w:lastRenderedPageBreak/>
              <w:t>multiple integrals, Green's theorem, Stokes theorem</w:t>
            </w:r>
            <w:r>
              <w:rPr>
                <w:color w:val="333333"/>
                <w:shd w:val="clear" w:color="auto" w:fill="FFFFFF"/>
              </w:rPr>
              <w:t>,</w:t>
            </w:r>
            <w:r w:rsidRPr="00631138">
              <w:rPr>
                <w:color w:val="333333"/>
                <w:shd w:val="clear" w:color="auto" w:fill="FFFFFF"/>
              </w:rPr>
              <w:t xml:space="preserve"> the </w:t>
            </w:r>
            <w:r w:rsidRPr="00631138">
              <w:rPr>
                <w:color w:val="333333"/>
                <w:shd w:val="clear" w:color="auto" w:fill="FFFFFF"/>
              </w:rPr>
              <w:t>d</w:t>
            </w:r>
            <w:r w:rsidRPr="00631138">
              <w:rPr>
                <w:color w:val="333333"/>
                <w:shd w:val="clear" w:color="auto" w:fill="FFFFFF"/>
              </w:rPr>
              <w:t>ivergence theorem</w:t>
            </w:r>
            <w:r w:rsidRPr="00631138">
              <w:rPr>
                <w:color w:val="333333"/>
                <w:shd w:val="clear" w:color="auto" w:fill="FFFFFF"/>
              </w:rPr>
              <w:t xml:space="preserve"> and to apply the knowledge for solving problems, including real-life a</w:t>
            </w:r>
            <w:r w:rsidRPr="00631138">
              <w:rPr>
                <w:color w:val="333333"/>
                <w:shd w:val="clear" w:color="auto" w:fill="FFFFFF"/>
              </w:rPr>
              <w:t>pplications.</w:t>
            </w:r>
          </w:p>
          <w:p w14:paraId="588144AC" w14:textId="65008130" w:rsidR="001E3306" w:rsidRPr="008D4194" w:rsidRDefault="001E3306" w:rsidP="008D4194">
            <w:pPr>
              <w:pStyle w:val="ListParagraph"/>
              <w:rPr>
                <w:lang w:val="en-US"/>
              </w:rPr>
            </w:pPr>
          </w:p>
        </w:tc>
      </w:tr>
      <w:tr w:rsidR="00631138" w:rsidRPr="00AE2EBD" w14:paraId="02093A68" w14:textId="77777777" w:rsidTr="001C0017">
        <w:trPr>
          <w:trHeight w:val="507"/>
        </w:trPr>
        <w:tc>
          <w:tcPr>
            <w:tcW w:w="2802" w:type="dxa"/>
            <w:shd w:val="clear" w:color="auto" w:fill="F3F3F3"/>
          </w:tcPr>
          <w:p w14:paraId="611471F6" w14:textId="1DF5CD66" w:rsidR="008307FE" w:rsidRPr="009E1A84" w:rsidRDefault="008307FE" w:rsidP="008307FE">
            <w:pPr>
              <w:ind w:left="708"/>
              <w:rPr>
                <w:lang w:val="en-US"/>
              </w:rPr>
            </w:pPr>
            <w:r w:rsidRPr="009E1A84">
              <w:rPr>
                <w:rStyle w:val="Heading3Char"/>
                <w:lang w:val="en-US"/>
              </w:rPr>
              <w:lastRenderedPageBreak/>
              <w:t>Learning contents</w:t>
            </w:r>
          </w:p>
        </w:tc>
        <w:tc>
          <w:tcPr>
            <w:tcW w:w="6404" w:type="dxa"/>
          </w:tcPr>
          <w:p w14:paraId="6864E745" w14:textId="54F155F3" w:rsidR="000075A4" w:rsidRPr="0069281A" w:rsidRDefault="00631138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See above</w:t>
            </w:r>
          </w:p>
        </w:tc>
      </w:tr>
      <w:tr w:rsidR="00631138" w:rsidRPr="00AE2EBD" w14:paraId="5F009FF9" w14:textId="77777777" w:rsidTr="00BA45C1">
        <w:trPr>
          <w:trHeight w:val="602"/>
        </w:trPr>
        <w:tc>
          <w:tcPr>
            <w:tcW w:w="2802" w:type="dxa"/>
            <w:shd w:val="clear" w:color="auto" w:fill="F3F3F3"/>
          </w:tcPr>
          <w:p w14:paraId="37125051" w14:textId="62555905" w:rsidR="008307FE" w:rsidRPr="00C153E2" w:rsidRDefault="00BA45C1" w:rsidP="008307FE">
            <w:pPr>
              <w:ind w:left="708"/>
            </w:pPr>
            <w:proofErr w:type="spellStart"/>
            <w:r>
              <w:rPr>
                <w:rStyle w:val="Heading3Char"/>
                <w:lang w:val="en-US"/>
              </w:rPr>
              <w:t>te</w:t>
            </w:r>
            <w:proofErr w:type="spellEnd"/>
            <w:r>
              <w:rPr>
                <w:rStyle w:val="Heading3Char"/>
              </w:rPr>
              <w:t>aching</w:t>
            </w:r>
            <w:r w:rsidR="008307FE" w:rsidRPr="009E1A84">
              <w:rPr>
                <w:rStyle w:val="Heading3Char"/>
                <w:lang w:val="en-US"/>
              </w:rPr>
              <w:t xml:space="preserve"> </w:t>
            </w:r>
            <w:r w:rsidR="00B17CAF" w:rsidRPr="009E1A84">
              <w:rPr>
                <w:rStyle w:val="Heading3Char"/>
                <w:lang w:val="en-US"/>
              </w:rPr>
              <w:t xml:space="preserve">/learning </w:t>
            </w:r>
            <w:proofErr w:type="spellStart"/>
            <w:r w:rsidR="008307FE" w:rsidRPr="009E1A84">
              <w:rPr>
                <w:rStyle w:val="Heading3Char"/>
                <w:lang w:val="en-US"/>
              </w:rPr>
              <w:t>activiti</w:t>
            </w:r>
            <w:proofErr w:type="spellEnd"/>
            <w:r w:rsidR="008307FE" w:rsidRPr="00C153E2">
              <w:rPr>
                <w:rStyle w:val="Heading3Char"/>
              </w:rPr>
              <w:t>es</w:t>
            </w:r>
          </w:p>
        </w:tc>
        <w:tc>
          <w:tcPr>
            <w:tcW w:w="6404" w:type="dxa"/>
          </w:tcPr>
          <w:p w14:paraId="419A7ED6" w14:textId="2D6BB268" w:rsidR="00FD3547" w:rsidRPr="000075A4" w:rsidRDefault="00631138" w:rsidP="003213AF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Lecture, seminars, </w:t>
            </w:r>
            <w:r w:rsidR="00E43E95">
              <w:rPr>
                <w:lang w:val="en-US"/>
              </w:rPr>
              <w:t>obligatory and non-obligatory assignments</w:t>
            </w:r>
          </w:p>
        </w:tc>
      </w:tr>
      <w:tr w:rsidR="00631138" w:rsidRPr="00AE2EBD" w14:paraId="0EAE7BDD" w14:textId="77777777" w:rsidTr="00BA45C1">
        <w:trPr>
          <w:trHeight w:val="271"/>
        </w:trPr>
        <w:tc>
          <w:tcPr>
            <w:tcW w:w="2802" w:type="dxa"/>
            <w:shd w:val="clear" w:color="auto" w:fill="F3F3F3"/>
          </w:tcPr>
          <w:p w14:paraId="3605F131" w14:textId="3B582188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Heading3Char"/>
              </w:rPr>
              <w:t>Media</w:t>
            </w:r>
          </w:p>
        </w:tc>
        <w:tc>
          <w:tcPr>
            <w:tcW w:w="6404" w:type="dxa"/>
          </w:tcPr>
          <w:p w14:paraId="7EB331D3" w14:textId="77777777" w:rsidR="002C6068" w:rsidRDefault="00E43E95" w:rsidP="006C621B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Canvas</w:t>
            </w:r>
          </w:p>
          <w:p w14:paraId="7C3CB986" w14:textId="77777777" w:rsidR="00E43E95" w:rsidRDefault="00E43E95" w:rsidP="006C621B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Personal computers</w:t>
            </w:r>
          </w:p>
          <w:p w14:paraId="27A69921" w14:textId="77777777" w:rsidR="00E43E95" w:rsidRDefault="00E43E95" w:rsidP="006C621B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Mobile phones for classroom engagement during the lectures</w:t>
            </w:r>
          </w:p>
          <w:p w14:paraId="1D02C78F" w14:textId="1DCFD7D5" w:rsidR="00E43E95" w:rsidRPr="006C621B" w:rsidRDefault="00E43E95" w:rsidP="006C621B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Appropriate software for computing and lecturer-class interaction (</w:t>
            </w:r>
            <w:proofErr w:type="gramStart"/>
            <w:r>
              <w:rPr>
                <w:lang w:val="en-US"/>
              </w:rPr>
              <w:t>Kahoot!,</w:t>
            </w:r>
            <w:proofErr w:type="gramEnd"/>
            <w:r>
              <w:rPr>
                <w:lang w:val="en-US"/>
              </w:rPr>
              <w:t xml:space="preserve"> Socrative, </w:t>
            </w:r>
            <w:proofErr w:type="spellStart"/>
            <w:r>
              <w:rPr>
                <w:lang w:val="en-US"/>
              </w:rPr>
              <w:t>Menti</w:t>
            </w:r>
            <w:proofErr w:type="spellEnd"/>
            <w:r>
              <w:rPr>
                <w:lang w:val="en-US"/>
              </w:rPr>
              <w:t>, Padlet)</w:t>
            </w:r>
          </w:p>
        </w:tc>
      </w:tr>
      <w:tr w:rsidR="00631138" w:rsidRPr="00AE2EBD" w14:paraId="058A0B81" w14:textId="77777777" w:rsidTr="001C0017">
        <w:trPr>
          <w:trHeight w:val="406"/>
        </w:trPr>
        <w:tc>
          <w:tcPr>
            <w:tcW w:w="2802" w:type="dxa"/>
            <w:shd w:val="clear" w:color="auto" w:fill="F3F3F3"/>
          </w:tcPr>
          <w:p w14:paraId="56D288A1" w14:textId="33CDAFEF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Heading3Char"/>
              </w:rPr>
              <w:t>Evaluation</w:t>
            </w:r>
          </w:p>
        </w:tc>
        <w:tc>
          <w:tcPr>
            <w:tcW w:w="6404" w:type="dxa"/>
          </w:tcPr>
          <w:p w14:paraId="65D05CEE" w14:textId="32C7E565" w:rsidR="00A26C0D" w:rsidRPr="006C621B" w:rsidRDefault="00E43E95" w:rsidP="006C621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Written </w:t>
            </w:r>
            <w:proofErr w:type="gramStart"/>
            <w:r>
              <w:rPr>
                <w:lang w:val="en-US"/>
              </w:rPr>
              <w:t>six hour</w:t>
            </w:r>
            <w:proofErr w:type="gramEnd"/>
            <w:r>
              <w:rPr>
                <w:lang w:val="en-US"/>
              </w:rPr>
              <w:t xml:space="preserve"> exam</w:t>
            </w:r>
          </w:p>
        </w:tc>
      </w:tr>
      <w:tr w:rsidR="00631138" w14:paraId="0E47CEB6" w14:textId="77777777" w:rsidTr="00BA45C1">
        <w:trPr>
          <w:trHeight w:val="381"/>
        </w:trPr>
        <w:tc>
          <w:tcPr>
            <w:tcW w:w="2802" w:type="dxa"/>
            <w:shd w:val="clear" w:color="auto" w:fill="F3F3F3"/>
          </w:tcPr>
          <w:p w14:paraId="1BE7FCB4" w14:textId="02EF10FA" w:rsidR="008307FE" w:rsidRPr="00B42D69" w:rsidRDefault="008307FE" w:rsidP="008307FE">
            <w:pPr>
              <w:rPr>
                <w:b/>
              </w:rPr>
            </w:pPr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 role</w:t>
            </w:r>
          </w:p>
        </w:tc>
        <w:tc>
          <w:tcPr>
            <w:tcW w:w="6404" w:type="dxa"/>
          </w:tcPr>
          <w:p w14:paraId="2DD638A5" w14:textId="0E317395" w:rsidR="002C6068" w:rsidRPr="005C0CE0" w:rsidRDefault="00E43E95" w:rsidP="006C621B">
            <w:pPr>
              <w:pStyle w:val="ListParagraph"/>
              <w:numPr>
                <w:ilvl w:val="0"/>
                <w:numId w:val="18"/>
              </w:numPr>
            </w:pPr>
            <w:r>
              <w:t>Preparation of lectures, selection and development of IBL tasks, teaching and advising students and teaching assistants</w:t>
            </w:r>
          </w:p>
        </w:tc>
      </w:tr>
      <w:tr w:rsidR="00631138" w14:paraId="03F787E9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73D1DB81" w14:textId="363CC0FF" w:rsidR="008307FE" w:rsidRDefault="006C621B" w:rsidP="00BC3550"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Student roles</w:t>
            </w:r>
            <w:r w:rsidR="008307FE">
              <w:t xml:space="preserve"> </w:t>
            </w:r>
          </w:p>
        </w:tc>
        <w:tc>
          <w:tcPr>
            <w:tcW w:w="6404" w:type="dxa"/>
          </w:tcPr>
          <w:p w14:paraId="54DED754" w14:textId="211B6B61" w:rsidR="00C6078B" w:rsidRPr="005C0CE0" w:rsidRDefault="00E43E95" w:rsidP="00A26C0D">
            <w:pPr>
              <w:pStyle w:val="ListParagraph"/>
              <w:numPr>
                <w:ilvl w:val="0"/>
                <w:numId w:val="11"/>
              </w:numPr>
            </w:pPr>
            <w:r>
              <w:t>Active engagement in learning during the lectures, seminars and independent studies</w:t>
            </w:r>
          </w:p>
        </w:tc>
      </w:tr>
      <w:tr w:rsidR="00631138" w14:paraId="18F1C3EC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4D2A987D" w14:textId="2DDDE7F9" w:rsidR="000C702A" w:rsidRDefault="000C702A" w:rsidP="00BC35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Other aspects</w:t>
            </w:r>
          </w:p>
        </w:tc>
        <w:tc>
          <w:tcPr>
            <w:tcW w:w="6404" w:type="dxa"/>
          </w:tcPr>
          <w:p w14:paraId="7628DEA1" w14:textId="77777777" w:rsidR="000C702A" w:rsidRPr="005C0CE0" w:rsidRDefault="000C702A" w:rsidP="00A26C0D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14:paraId="1A58ED81" w14:textId="1AAB2E30" w:rsidR="00E4669D" w:rsidRPr="00E4669D" w:rsidRDefault="00E4669D" w:rsidP="00E4669D">
      <w:pPr>
        <w:rPr>
          <w:lang w:val="en-US"/>
        </w:rPr>
      </w:pPr>
    </w:p>
    <w:sectPr w:rsidR="00E4669D" w:rsidRPr="00E4669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D02A" w14:textId="77777777" w:rsidR="00ED7DB4" w:rsidRDefault="00ED7DB4" w:rsidP="00101FC0">
      <w:r>
        <w:separator/>
      </w:r>
    </w:p>
  </w:endnote>
  <w:endnote w:type="continuationSeparator" w:id="0">
    <w:p w14:paraId="0A2A8AB8" w14:textId="77777777" w:rsidR="00ED7DB4" w:rsidRDefault="00ED7DB4" w:rsidP="0010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E25B3" w14:textId="77777777" w:rsidR="00ED7DB4" w:rsidRDefault="00ED7DB4" w:rsidP="00101FC0">
      <w:r>
        <w:separator/>
      </w:r>
    </w:p>
  </w:footnote>
  <w:footnote w:type="continuationSeparator" w:id="0">
    <w:p w14:paraId="6CF6157D" w14:textId="77777777" w:rsidR="00ED7DB4" w:rsidRDefault="00ED7DB4" w:rsidP="0010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D5A"/>
    <w:multiLevelType w:val="hybridMultilevel"/>
    <w:tmpl w:val="3E5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50B3"/>
    <w:multiLevelType w:val="multilevel"/>
    <w:tmpl w:val="5CA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80B34"/>
    <w:multiLevelType w:val="multilevel"/>
    <w:tmpl w:val="17D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503E4"/>
    <w:multiLevelType w:val="hybridMultilevel"/>
    <w:tmpl w:val="DC2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B68F2"/>
    <w:multiLevelType w:val="hybridMultilevel"/>
    <w:tmpl w:val="87682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20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2"/>
  </w:num>
  <w:num w:numId="10">
    <w:abstractNumId w:val="19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19"/>
  </w:num>
  <w:num w:numId="16">
    <w:abstractNumId w:val="22"/>
  </w:num>
  <w:num w:numId="17">
    <w:abstractNumId w:val="18"/>
  </w:num>
  <w:num w:numId="18">
    <w:abstractNumId w:val="21"/>
  </w:num>
  <w:num w:numId="19">
    <w:abstractNumId w:val="15"/>
  </w:num>
  <w:num w:numId="20">
    <w:abstractNumId w:val="8"/>
  </w:num>
  <w:num w:numId="21">
    <w:abstractNumId w:val="16"/>
  </w:num>
  <w:num w:numId="22">
    <w:abstractNumId w:val="6"/>
  </w:num>
  <w:num w:numId="23">
    <w:abstractNumId w:val="1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D6"/>
    <w:rsid w:val="000075A4"/>
    <w:rsid w:val="00082F1D"/>
    <w:rsid w:val="00091037"/>
    <w:rsid w:val="00097BE4"/>
    <w:rsid w:val="000B31B9"/>
    <w:rsid w:val="000C702A"/>
    <w:rsid w:val="00101FC0"/>
    <w:rsid w:val="00151594"/>
    <w:rsid w:val="00170540"/>
    <w:rsid w:val="001B15E4"/>
    <w:rsid w:val="001C0017"/>
    <w:rsid w:val="001D239C"/>
    <w:rsid w:val="001E3306"/>
    <w:rsid w:val="00205377"/>
    <w:rsid w:val="00222382"/>
    <w:rsid w:val="00222B89"/>
    <w:rsid w:val="00253CCA"/>
    <w:rsid w:val="00297500"/>
    <w:rsid w:val="002C6068"/>
    <w:rsid w:val="002F69A6"/>
    <w:rsid w:val="00302103"/>
    <w:rsid w:val="003136FF"/>
    <w:rsid w:val="003213AF"/>
    <w:rsid w:val="0032578A"/>
    <w:rsid w:val="00386B02"/>
    <w:rsid w:val="00396C97"/>
    <w:rsid w:val="003A2196"/>
    <w:rsid w:val="003E4B2E"/>
    <w:rsid w:val="003F6B6A"/>
    <w:rsid w:val="004309F9"/>
    <w:rsid w:val="004A579A"/>
    <w:rsid w:val="004D21D4"/>
    <w:rsid w:val="004E3E81"/>
    <w:rsid w:val="004F7ECB"/>
    <w:rsid w:val="00580ED9"/>
    <w:rsid w:val="005C0CE0"/>
    <w:rsid w:val="005C26B6"/>
    <w:rsid w:val="005C57BE"/>
    <w:rsid w:val="005C7C9C"/>
    <w:rsid w:val="005D05CA"/>
    <w:rsid w:val="005E0912"/>
    <w:rsid w:val="00605C86"/>
    <w:rsid w:val="00617ED6"/>
    <w:rsid w:val="00626ECD"/>
    <w:rsid w:val="00631138"/>
    <w:rsid w:val="006402E2"/>
    <w:rsid w:val="00680426"/>
    <w:rsid w:val="006916C6"/>
    <w:rsid w:val="0069281A"/>
    <w:rsid w:val="006A6EEC"/>
    <w:rsid w:val="006C621B"/>
    <w:rsid w:val="006E56BB"/>
    <w:rsid w:val="0072066B"/>
    <w:rsid w:val="0072627E"/>
    <w:rsid w:val="00742CEC"/>
    <w:rsid w:val="00797B16"/>
    <w:rsid w:val="007B2C2E"/>
    <w:rsid w:val="007F5505"/>
    <w:rsid w:val="0080773C"/>
    <w:rsid w:val="008307FE"/>
    <w:rsid w:val="008374CA"/>
    <w:rsid w:val="00846A39"/>
    <w:rsid w:val="008A342C"/>
    <w:rsid w:val="008A3E48"/>
    <w:rsid w:val="008D4194"/>
    <w:rsid w:val="008F20DA"/>
    <w:rsid w:val="009417DB"/>
    <w:rsid w:val="009A2802"/>
    <w:rsid w:val="009B3390"/>
    <w:rsid w:val="009E1A84"/>
    <w:rsid w:val="00A009B5"/>
    <w:rsid w:val="00A26C0D"/>
    <w:rsid w:val="00A65F19"/>
    <w:rsid w:val="00AA6BB2"/>
    <w:rsid w:val="00AE2EBD"/>
    <w:rsid w:val="00AF1A96"/>
    <w:rsid w:val="00AF25A9"/>
    <w:rsid w:val="00B17CAF"/>
    <w:rsid w:val="00B37008"/>
    <w:rsid w:val="00B42D69"/>
    <w:rsid w:val="00B976D1"/>
    <w:rsid w:val="00BA45C1"/>
    <w:rsid w:val="00BA5A7F"/>
    <w:rsid w:val="00BC3550"/>
    <w:rsid w:val="00BE4670"/>
    <w:rsid w:val="00C10FA5"/>
    <w:rsid w:val="00C153E2"/>
    <w:rsid w:val="00C26AF3"/>
    <w:rsid w:val="00C3307B"/>
    <w:rsid w:val="00C6078B"/>
    <w:rsid w:val="00C738D9"/>
    <w:rsid w:val="00C90B56"/>
    <w:rsid w:val="00CA5C45"/>
    <w:rsid w:val="00CD76F1"/>
    <w:rsid w:val="00CF1191"/>
    <w:rsid w:val="00CF29BD"/>
    <w:rsid w:val="00D20F4F"/>
    <w:rsid w:val="00D328BF"/>
    <w:rsid w:val="00D40098"/>
    <w:rsid w:val="00D8758C"/>
    <w:rsid w:val="00D926F4"/>
    <w:rsid w:val="00DB5949"/>
    <w:rsid w:val="00DE0096"/>
    <w:rsid w:val="00E43E95"/>
    <w:rsid w:val="00E4669D"/>
    <w:rsid w:val="00E56B43"/>
    <w:rsid w:val="00E76410"/>
    <w:rsid w:val="00EA0802"/>
    <w:rsid w:val="00ED698E"/>
    <w:rsid w:val="00ED7DB4"/>
    <w:rsid w:val="00EF6048"/>
    <w:rsid w:val="00F35965"/>
    <w:rsid w:val="00FB4459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8C68E"/>
  <w14:defaultImageDpi w14:val="300"/>
  <w15:docId w15:val="{34D021D1-9C98-4DB7-92AE-7E0A2DD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3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9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E4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21B"/>
  </w:style>
  <w:style w:type="character" w:customStyle="1" w:styleId="Heading4Char">
    <w:name w:val="Heading 4 Char"/>
    <w:basedOn w:val="DefaultParagraphFont"/>
    <w:link w:val="Heading4"/>
    <w:uiPriority w:val="9"/>
    <w:rsid w:val="003213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A3E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Yuriy Rogovchenko</cp:lastModifiedBy>
  <cp:revision>4</cp:revision>
  <cp:lastPrinted>2015-12-08T17:06:00Z</cp:lastPrinted>
  <dcterms:created xsi:type="dcterms:W3CDTF">2018-12-23T14:14:00Z</dcterms:created>
  <dcterms:modified xsi:type="dcterms:W3CDTF">2018-12-23T14:37:00Z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yuriyr@uia.no</vt:lpwstr>
  </property>
  <property fmtid="{D5CDD505-2E9C-101B-9397-08002B2CF9AE}" pid="5" name="MSIP_Label_92684840-629b-41cd-9b8c-5e9eea511f17_SetDate">
    <vt:lpwstr>2018-12-23T14:13:36.3041157Z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yuriyr@uia.no</vt:lpwstr>
  </property>
  <property fmtid="{D5CDD505-2E9C-101B-9397-08002B2CF9AE}" pid="12" name="MSIP_Label_b4114459-e220-4ae9-b339-4ebe6008cdd4_SetDate">
    <vt:lpwstr>2018-12-23T14:13:36.3051142Z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