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A4D0" w14:textId="77777777" w:rsidR="00CB32FE" w:rsidRPr="00CB32FE" w:rsidRDefault="00CB32FE" w:rsidP="00CB32FE">
      <w:pPr>
        <w:keepNext/>
        <w:keepLines/>
        <w:spacing w:before="240" w:line="259" w:lineRule="auto"/>
        <w:outlineLvl w:val="0"/>
        <w:rPr>
          <w:rFonts w:ascii="Calibri Light" w:eastAsia="Times New Roman" w:hAnsi="Calibri Light" w:cs="Times New Roman"/>
          <w:color w:val="2F5496"/>
          <w:sz w:val="32"/>
          <w:szCs w:val="32"/>
          <w:lang w:val="en-GB"/>
        </w:rPr>
      </w:pPr>
      <w:r w:rsidRPr="00CB32FE">
        <w:rPr>
          <w:rFonts w:ascii="Calibri Light" w:eastAsia="Times New Roman" w:hAnsi="Calibri Light" w:cs="Times New Roman"/>
          <w:color w:val="2F5496"/>
          <w:sz w:val="32"/>
          <w:szCs w:val="32"/>
          <w:lang w:val="en-GB"/>
        </w:rPr>
        <w:t>Documentation of PLATINUM teaching and learning units</w:t>
      </w:r>
    </w:p>
    <w:p w14:paraId="4F456B3F" w14:textId="77777777" w:rsidR="00CB32FE" w:rsidRPr="00CB32FE" w:rsidRDefault="00CB32FE" w:rsidP="00CB32FE">
      <w:pPr>
        <w:spacing w:after="160" w:line="259" w:lineRule="auto"/>
        <w:jc w:val="both"/>
        <w:rPr>
          <w:rFonts w:ascii="Calibri" w:eastAsia="Calibri" w:hAnsi="Calibri" w:cs="Times New Roman"/>
          <w:sz w:val="22"/>
          <w:szCs w:val="22"/>
          <w:lang w:val="en-GB"/>
        </w:rPr>
      </w:pPr>
      <w:r w:rsidRPr="00CB32FE">
        <w:rPr>
          <w:rFonts w:ascii="Calibri" w:eastAsia="Calibri" w:hAnsi="Calibri" w:cs="Times New Roman"/>
          <w:sz w:val="22"/>
          <w:szCs w:val="22"/>
          <w:lang w:val="en-GB"/>
        </w:rPr>
        <w:t xml:space="preserve">Each PLATINUM unit is built around a mathematics topic, is designed for student inquiry, and is used in HE classroom practice. PLATINUM units serve as exemplary materials for mathematics lecturers and instructors in professionalisation programmes to experience inquiry based mathematics education (IBME) at university level  and to  inspire further development of IBME. </w:t>
      </w:r>
    </w:p>
    <w:p w14:paraId="353025C1" w14:textId="77777777" w:rsidR="00CB32FE" w:rsidRPr="00CB32FE" w:rsidRDefault="00CB32FE" w:rsidP="00CB32FE">
      <w:pPr>
        <w:spacing w:line="259" w:lineRule="auto"/>
        <w:rPr>
          <w:rFonts w:ascii="Calibri" w:eastAsia="Calibri" w:hAnsi="Calibri" w:cs="Times New Roman"/>
          <w:sz w:val="22"/>
          <w:szCs w:val="22"/>
          <w:lang w:val="en-GB"/>
        </w:rPr>
      </w:pPr>
      <w:r w:rsidRPr="00CB32FE">
        <w:rPr>
          <w:rFonts w:ascii="Calibri" w:eastAsia="Calibri" w:hAnsi="Calibri" w:cs="Times New Roman"/>
          <w:sz w:val="22"/>
          <w:szCs w:val="22"/>
          <w:lang w:val="en-GB"/>
        </w:rPr>
        <w:t xml:space="preserve">Documentation of a PLATINUM unit consists of </w:t>
      </w:r>
    </w:p>
    <w:p w14:paraId="13253D19" w14:textId="77777777" w:rsidR="00CB32FE" w:rsidRPr="00CB32FE" w:rsidRDefault="00CB32FE" w:rsidP="00CB32FE">
      <w:pPr>
        <w:numPr>
          <w:ilvl w:val="0"/>
          <w:numId w:val="1"/>
        </w:numPr>
        <w:spacing w:after="160" w:line="259" w:lineRule="auto"/>
        <w:contextualSpacing/>
        <w:rPr>
          <w:rFonts w:ascii="Calibri" w:eastAsia="Calibri" w:hAnsi="Calibri" w:cs="Times New Roman"/>
          <w:sz w:val="22"/>
          <w:szCs w:val="22"/>
          <w:lang w:val="en-GB"/>
        </w:rPr>
      </w:pPr>
      <w:r w:rsidRPr="00CB32FE">
        <w:rPr>
          <w:rFonts w:ascii="Calibri" w:eastAsia="Calibri" w:hAnsi="Calibri" w:cs="Times New Roman"/>
          <w:sz w:val="22"/>
          <w:szCs w:val="22"/>
          <w:lang w:val="en-GB"/>
        </w:rPr>
        <w:t>Information for lecturers</w:t>
      </w:r>
    </w:p>
    <w:p w14:paraId="16A5B5B6" w14:textId="77777777" w:rsidR="00CB32FE" w:rsidRPr="00CB32FE" w:rsidRDefault="00CB32FE" w:rsidP="00CB32FE">
      <w:pPr>
        <w:numPr>
          <w:ilvl w:val="0"/>
          <w:numId w:val="1"/>
        </w:numPr>
        <w:spacing w:after="160" w:line="259" w:lineRule="auto"/>
        <w:contextualSpacing/>
        <w:rPr>
          <w:rFonts w:ascii="Calibri" w:eastAsia="Calibri" w:hAnsi="Calibri" w:cs="Times New Roman"/>
          <w:sz w:val="22"/>
          <w:szCs w:val="22"/>
          <w:lang w:val="en-GB"/>
        </w:rPr>
      </w:pPr>
      <w:r w:rsidRPr="00CB32FE">
        <w:rPr>
          <w:rFonts w:ascii="Calibri" w:eastAsia="Calibri" w:hAnsi="Calibri" w:cs="Times New Roman"/>
          <w:sz w:val="22"/>
          <w:szCs w:val="22"/>
          <w:lang w:val="en-GB"/>
        </w:rPr>
        <w:t>information about the learning activities</w:t>
      </w:r>
    </w:p>
    <w:p w14:paraId="6E38C17C" w14:textId="77777777" w:rsidR="00CB32FE" w:rsidRPr="00CB32FE" w:rsidRDefault="00CB32FE" w:rsidP="00CB32FE">
      <w:pPr>
        <w:numPr>
          <w:ilvl w:val="0"/>
          <w:numId w:val="1"/>
        </w:numPr>
        <w:spacing w:after="160" w:line="259" w:lineRule="auto"/>
        <w:contextualSpacing/>
        <w:rPr>
          <w:rFonts w:ascii="Calibri" w:eastAsia="Calibri" w:hAnsi="Calibri" w:cs="Times New Roman"/>
          <w:sz w:val="22"/>
          <w:szCs w:val="22"/>
          <w:lang w:val="en-GB"/>
        </w:rPr>
      </w:pPr>
      <w:r w:rsidRPr="00CB32FE">
        <w:rPr>
          <w:rFonts w:ascii="Calibri" w:eastAsia="Calibri" w:hAnsi="Calibri" w:cs="Times New Roman"/>
          <w:sz w:val="22"/>
          <w:szCs w:val="22"/>
          <w:lang w:val="en-GB"/>
        </w:rPr>
        <w:t>the worksheets and files used in the classroom, plus supplementary material</w:t>
      </w:r>
    </w:p>
    <w:p w14:paraId="12639EFF" w14:textId="46056BC4" w:rsidR="00CB32FE" w:rsidRPr="00CB32FE" w:rsidRDefault="00CB32FE" w:rsidP="00CB32FE">
      <w:pPr>
        <w:keepNext/>
        <w:keepLines/>
        <w:spacing w:before="240" w:after="120" w:line="259" w:lineRule="auto"/>
        <w:outlineLvl w:val="1"/>
        <w:rPr>
          <w:rFonts w:ascii="Calibri Light" w:eastAsia="Times New Roman" w:hAnsi="Calibri Light" w:cs="Times New Roman"/>
          <w:color w:val="2F5496"/>
          <w:sz w:val="26"/>
          <w:szCs w:val="26"/>
          <w:lang w:val="en-GB"/>
        </w:rPr>
      </w:pPr>
      <w:r>
        <w:rPr>
          <w:rFonts w:ascii="Calibri Light" w:eastAsia="Times New Roman" w:hAnsi="Calibri Light" w:cs="Times New Roman"/>
          <w:color w:val="2F5496"/>
          <w:sz w:val="26"/>
          <w:szCs w:val="26"/>
          <w:lang w:val="en-GB"/>
        </w:rPr>
        <w:t xml:space="preserve">A. </w:t>
      </w:r>
      <w:r w:rsidRPr="00CB32FE">
        <w:rPr>
          <w:rFonts w:ascii="Calibri Light" w:eastAsia="Times New Roman" w:hAnsi="Calibri Light" w:cs="Times New Roman"/>
          <w:color w:val="2F5496"/>
          <w:sz w:val="26"/>
          <w:szCs w:val="26"/>
          <w:lang w:val="en-GB"/>
        </w:rPr>
        <w:t>Information for lecturers</w:t>
      </w:r>
    </w:p>
    <w:p w14:paraId="12D75450" w14:textId="77777777" w:rsidR="00CB32FE" w:rsidRPr="00CB32FE" w:rsidRDefault="00CB32FE" w:rsidP="00CB32FE">
      <w:pPr>
        <w:spacing w:line="259" w:lineRule="auto"/>
        <w:rPr>
          <w:rFonts w:ascii="Calibri" w:eastAsia="Calibri" w:hAnsi="Calibri" w:cs="Times New Roman"/>
          <w:sz w:val="22"/>
          <w:szCs w:val="22"/>
          <w:lang w:val="en-GB"/>
        </w:rPr>
      </w:pPr>
      <w:r w:rsidRPr="00CB32FE">
        <w:rPr>
          <w:rFonts w:ascii="Calibri" w:eastAsia="Calibri" w:hAnsi="Calibri" w:cs="Times New Roman"/>
          <w:sz w:val="22"/>
          <w:szCs w:val="22"/>
          <w:lang w:val="en-GB"/>
        </w:rPr>
        <w:t>Information about a PLATINUM unit for lecturers consists of short accounts of</w:t>
      </w:r>
    </w:p>
    <w:p w14:paraId="69CA32F6" w14:textId="77777777" w:rsidR="00CB32FE" w:rsidRPr="00CB32FE" w:rsidRDefault="00CB32FE" w:rsidP="00CB32FE">
      <w:pPr>
        <w:numPr>
          <w:ilvl w:val="0"/>
          <w:numId w:val="4"/>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unit description</w:t>
      </w:r>
      <w:r w:rsidRPr="00CB32FE">
        <w:rPr>
          <w:rFonts w:ascii="Calibri" w:eastAsia="Calibri" w:hAnsi="Calibri" w:cs="Times New Roman"/>
          <w:i/>
          <w:iCs/>
          <w:sz w:val="22"/>
          <w:szCs w:val="22"/>
          <w:lang w:val="en-GB"/>
        </w:rPr>
        <w:br/>
      </w:r>
      <w:r w:rsidRPr="00CB32FE">
        <w:rPr>
          <w:rFonts w:ascii="Calibri" w:eastAsia="Calibri" w:hAnsi="Calibri" w:cs="Times New Roman"/>
          <w:sz w:val="22"/>
          <w:szCs w:val="22"/>
          <w:lang w:val="en-GB"/>
        </w:rPr>
        <w:t>a short description of the unit about its subject matter and organisation, the student level, expected prior knowledge, the significant concepts and essential questions addressed, the course and context in which it has been used in HE practice, and the estimated duration.</w:t>
      </w:r>
    </w:p>
    <w:p w14:paraId="0D120686" w14:textId="77777777" w:rsidR="00CB32FE" w:rsidRPr="00CB32FE" w:rsidRDefault="00CB32FE" w:rsidP="00CB32FE">
      <w:pPr>
        <w:numPr>
          <w:ilvl w:val="0"/>
          <w:numId w:val="4"/>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 xml:space="preserve">learning objectives </w:t>
      </w:r>
      <w:r w:rsidRPr="00CB32FE">
        <w:rPr>
          <w:rFonts w:ascii="Calibri" w:eastAsia="Calibri" w:hAnsi="Calibri" w:cs="Times New Roman"/>
          <w:sz w:val="22"/>
          <w:szCs w:val="22"/>
          <w:lang w:val="en-GB"/>
        </w:rPr>
        <w:t>of the unit</w:t>
      </w:r>
    </w:p>
    <w:p w14:paraId="0790FF86" w14:textId="77777777" w:rsidR="00CB32FE" w:rsidRPr="00CB32FE" w:rsidRDefault="00CB32FE" w:rsidP="00CB32FE">
      <w:pPr>
        <w:numPr>
          <w:ilvl w:val="0"/>
          <w:numId w:val="4"/>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IBME character of the unit</w:t>
      </w:r>
      <w:r w:rsidRPr="00CB32FE">
        <w:rPr>
          <w:rFonts w:ascii="Calibri" w:eastAsia="Calibri" w:hAnsi="Calibri" w:cs="Times New Roman"/>
          <w:sz w:val="22"/>
          <w:szCs w:val="22"/>
          <w:lang w:val="en-GB"/>
        </w:rPr>
        <w:br/>
        <w:t xml:space="preserve">what </w:t>
      </w:r>
      <w:r w:rsidRPr="00CB32FE">
        <w:rPr>
          <w:rFonts w:ascii="Calibri" w:eastAsia="Calibri" w:hAnsi="Calibri" w:cs="Times New Roman"/>
          <w:i/>
          <w:iCs/>
          <w:sz w:val="22"/>
          <w:szCs w:val="22"/>
          <w:lang w:val="en-GB"/>
        </w:rPr>
        <w:t>kind of student inquiry</w:t>
      </w:r>
      <w:r w:rsidRPr="00CB32FE">
        <w:rPr>
          <w:rFonts w:ascii="Calibri" w:eastAsia="Calibri" w:hAnsi="Calibri" w:cs="Times New Roman"/>
          <w:sz w:val="22"/>
          <w:szCs w:val="22"/>
          <w:lang w:val="en-GB"/>
        </w:rPr>
        <w:t xml:space="preserve"> is applied (e.g. interactive demonstration, lecturer &amp; student discussion, confirmation inquiry, structured inquiry, guided inquiry, open inquiry, ...) and </w:t>
      </w:r>
      <w:r w:rsidRPr="00CB32FE">
        <w:rPr>
          <w:rFonts w:ascii="Calibri" w:eastAsia="Calibri" w:hAnsi="Calibri" w:cs="Times New Roman"/>
          <w:i/>
          <w:iCs/>
          <w:sz w:val="22"/>
          <w:szCs w:val="22"/>
          <w:lang w:val="en-GB"/>
        </w:rPr>
        <w:t>what inquiry abilities</w:t>
      </w:r>
      <w:r w:rsidRPr="00CB32FE">
        <w:rPr>
          <w:rFonts w:ascii="Calibri" w:eastAsia="Calibri" w:hAnsi="Calibri" w:cs="Times New Roman"/>
          <w:sz w:val="22"/>
          <w:szCs w:val="22"/>
          <w:lang w:val="en-GB"/>
        </w:rPr>
        <w:t xml:space="preserve"> (i.e. engagement, exploration, explanation, elaboration, extension, evaluation; one may refer to an inquiry learning model) are students expected to develop through the unit activities?</w:t>
      </w:r>
    </w:p>
    <w:p w14:paraId="60A77E09" w14:textId="77777777" w:rsidR="00CB32FE" w:rsidRPr="00CB32FE" w:rsidRDefault="00CB32FE" w:rsidP="00CB32FE">
      <w:pPr>
        <w:numPr>
          <w:ilvl w:val="0"/>
          <w:numId w:val="4"/>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mathematical content</w:t>
      </w:r>
      <w:r w:rsidRPr="00CB32FE">
        <w:rPr>
          <w:rFonts w:ascii="Calibri" w:eastAsia="Calibri" w:hAnsi="Calibri" w:cs="Times New Roman"/>
          <w:sz w:val="22"/>
          <w:szCs w:val="22"/>
          <w:lang w:val="en-GB"/>
        </w:rPr>
        <w:br/>
        <w:t>what mathematical concepts and ideas are introduced?</w:t>
      </w:r>
    </w:p>
    <w:p w14:paraId="149B0E9E" w14:textId="77777777" w:rsidR="00CB32FE" w:rsidRPr="00CB32FE" w:rsidRDefault="00CB32FE" w:rsidP="00CB32FE">
      <w:pPr>
        <w:numPr>
          <w:ilvl w:val="0"/>
          <w:numId w:val="4"/>
        </w:numPr>
        <w:spacing w:after="160" w:line="259" w:lineRule="auto"/>
        <w:contextualSpacing/>
        <w:rPr>
          <w:rFonts w:ascii="Calibri" w:eastAsia="Calibri" w:hAnsi="Calibri" w:cs="Times New Roman"/>
          <w:sz w:val="22"/>
          <w:szCs w:val="22"/>
          <w:lang w:val="en-GB"/>
        </w:rPr>
      </w:pPr>
      <w:bookmarkStart w:id="0" w:name="_Hlk42592648"/>
      <w:r w:rsidRPr="00CB32FE">
        <w:rPr>
          <w:rFonts w:ascii="Calibri Light" w:eastAsia="Times New Roman" w:hAnsi="Calibri Light" w:cs="Times New Roman"/>
          <w:i/>
          <w:iCs/>
          <w:color w:val="2F5496"/>
          <w:sz w:val="22"/>
          <w:szCs w:val="22"/>
          <w:lang w:val="en-GB"/>
        </w:rPr>
        <w:t>technological pedagogical content knowledge</w:t>
      </w:r>
      <w:bookmarkEnd w:id="0"/>
      <w:r w:rsidRPr="00CB32FE">
        <w:rPr>
          <w:rFonts w:ascii="Calibri" w:eastAsia="Calibri" w:hAnsi="Calibri" w:cs="Times New Roman"/>
          <w:sz w:val="22"/>
          <w:szCs w:val="22"/>
          <w:lang w:val="en-GB"/>
        </w:rPr>
        <w:br/>
        <w:t>what common students’ difficulties and alternative conceptions have been identified by mathematics education research and/or lecturers practice in higher education and what role does ICT play in the unit?</w:t>
      </w:r>
    </w:p>
    <w:p w14:paraId="1B8C73BB" w14:textId="77777777" w:rsidR="00CB32FE" w:rsidRPr="00CB32FE" w:rsidRDefault="00CB32FE" w:rsidP="00CB32FE">
      <w:pPr>
        <w:numPr>
          <w:ilvl w:val="0"/>
          <w:numId w:val="4"/>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learning path</w:t>
      </w:r>
      <w:r w:rsidRPr="00CB32FE">
        <w:rPr>
          <w:rFonts w:ascii="Calibri" w:eastAsia="Calibri" w:hAnsi="Calibri" w:cs="Times New Roman"/>
          <w:sz w:val="22"/>
          <w:szCs w:val="22"/>
          <w:lang w:val="en-GB"/>
        </w:rPr>
        <w:t>, in case the unit consists of subunits or multiple activities</w:t>
      </w:r>
      <w:r w:rsidRPr="00CB32FE">
        <w:rPr>
          <w:rFonts w:ascii="Calibri" w:eastAsia="Calibri" w:hAnsi="Calibri" w:cs="Times New Roman"/>
          <w:sz w:val="22"/>
          <w:szCs w:val="22"/>
          <w:lang w:val="en-GB"/>
        </w:rPr>
        <w:br/>
        <w:t>describe way(s) in which subunits and/or student learning activities are connect to each other; a short list of activities and possible arrangement of these activities suffices, and each item consists of activity name, inquiry type, specific inquiry abilities</w:t>
      </w:r>
    </w:p>
    <w:p w14:paraId="7640867A" w14:textId="77777777" w:rsidR="00CB32FE" w:rsidRPr="00CB32FE" w:rsidRDefault="00CB32FE" w:rsidP="00CB32FE">
      <w:pPr>
        <w:numPr>
          <w:ilvl w:val="0"/>
          <w:numId w:val="4"/>
        </w:numPr>
        <w:spacing w:after="160" w:line="259" w:lineRule="auto"/>
        <w:contextualSpacing/>
        <w:rPr>
          <w:rFonts w:ascii="Calibri" w:eastAsia="Calibri" w:hAnsi="Calibri" w:cs="Times New Roman"/>
          <w:i/>
          <w:iCs/>
          <w:sz w:val="22"/>
          <w:szCs w:val="22"/>
          <w:lang w:val="en-GB"/>
        </w:rPr>
      </w:pPr>
      <w:r w:rsidRPr="00CB32FE">
        <w:rPr>
          <w:rFonts w:ascii="Calibri Light" w:eastAsia="Times New Roman" w:hAnsi="Calibri Light" w:cs="Times New Roman"/>
          <w:i/>
          <w:iCs/>
          <w:color w:val="2F5496"/>
          <w:sz w:val="22"/>
          <w:szCs w:val="22"/>
          <w:lang w:val="en-GB"/>
        </w:rPr>
        <w:t>lecturers’ experiences in HE classroom practice</w:t>
      </w:r>
      <w:r w:rsidRPr="00CB32FE">
        <w:rPr>
          <w:rFonts w:ascii="Calibri" w:eastAsia="Calibri" w:hAnsi="Calibri" w:cs="Times New Roman"/>
          <w:i/>
          <w:iCs/>
          <w:sz w:val="22"/>
          <w:szCs w:val="22"/>
          <w:lang w:val="en-GB"/>
        </w:rPr>
        <w:br/>
      </w:r>
      <w:r w:rsidRPr="00CB32FE">
        <w:rPr>
          <w:rFonts w:ascii="Calibri" w:eastAsia="Calibri" w:hAnsi="Calibri" w:cs="Times New Roman"/>
          <w:sz w:val="22"/>
          <w:szCs w:val="22"/>
          <w:lang w:val="en-GB"/>
        </w:rPr>
        <w:t>a short reflection about its use within HE classroom practice (which expectation were met or not, challenges and/or obstacles encountered in the implementation, students’ reactions, …)</w:t>
      </w:r>
    </w:p>
    <w:p w14:paraId="2473E358" w14:textId="77777777" w:rsidR="00CB32FE" w:rsidRPr="00CB32FE" w:rsidRDefault="00CB32FE" w:rsidP="00CB32FE">
      <w:pPr>
        <w:numPr>
          <w:ilvl w:val="0"/>
          <w:numId w:val="4"/>
        </w:numPr>
        <w:spacing w:after="160" w:line="259" w:lineRule="auto"/>
        <w:contextualSpacing/>
        <w:rPr>
          <w:rFonts w:ascii="Calibri" w:eastAsia="Calibri" w:hAnsi="Calibri" w:cs="Times New Roman"/>
          <w:i/>
          <w:iCs/>
          <w:sz w:val="22"/>
          <w:szCs w:val="22"/>
          <w:lang w:val="en-GB"/>
        </w:rPr>
      </w:pPr>
      <w:r w:rsidRPr="00CB32FE">
        <w:rPr>
          <w:rFonts w:ascii="Calibri" w:eastAsia="Calibri" w:hAnsi="Calibri" w:cs="Times New Roman"/>
          <w:sz w:val="22"/>
          <w:szCs w:val="22"/>
          <w:lang w:val="en-GB"/>
        </w:rPr>
        <w:t xml:space="preserve">aspects of using the unit by </w:t>
      </w:r>
      <w:r w:rsidRPr="00CB32FE">
        <w:rPr>
          <w:rFonts w:ascii="Calibri Light" w:eastAsia="Times New Roman" w:hAnsi="Calibri Light" w:cs="Times New Roman"/>
          <w:i/>
          <w:iCs/>
          <w:color w:val="2F5496"/>
          <w:sz w:val="22"/>
          <w:szCs w:val="22"/>
          <w:lang w:val="en-GB"/>
        </w:rPr>
        <w:t>students with special needs</w:t>
      </w:r>
    </w:p>
    <w:p w14:paraId="0CE5658A" w14:textId="3BC6A2EE" w:rsidR="00CB32FE" w:rsidRPr="00CB32FE" w:rsidRDefault="00CB32FE" w:rsidP="00CB32FE">
      <w:pPr>
        <w:numPr>
          <w:ilvl w:val="0"/>
          <w:numId w:val="4"/>
        </w:numPr>
        <w:spacing w:after="160" w:line="259" w:lineRule="auto"/>
        <w:contextualSpacing/>
        <w:rPr>
          <w:rFonts w:ascii="Calibri" w:eastAsia="Calibri" w:hAnsi="Calibri" w:cs="Times New Roman"/>
          <w:i/>
          <w:iCs/>
          <w:sz w:val="22"/>
          <w:szCs w:val="22"/>
          <w:lang w:val="en-GB"/>
        </w:rPr>
      </w:pPr>
      <w:r w:rsidRPr="00CB32FE">
        <w:rPr>
          <w:rFonts w:ascii="Calibri Light" w:eastAsia="Times New Roman" w:hAnsi="Calibri Light" w:cs="Times New Roman"/>
          <w:i/>
          <w:iCs/>
          <w:color w:val="2F5496"/>
          <w:sz w:val="22"/>
          <w:szCs w:val="22"/>
          <w:lang w:val="en-GB"/>
        </w:rPr>
        <w:t>assessment</w:t>
      </w:r>
      <w:r w:rsidRPr="00CB32FE">
        <w:rPr>
          <w:rFonts w:ascii="Calibri" w:eastAsia="Calibri" w:hAnsi="Calibri" w:cs="Times New Roman"/>
          <w:i/>
          <w:iCs/>
          <w:sz w:val="22"/>
          <w:szCs w:val="22"/>
          <w:lang w:val="en-GB"/>
        </w:rPr>
        <w:t xml:space="preserve">, </w:t>
      </w:r>
      <w:r w:rsidRPr="00CB32FE">
        <w:rPr>
          <w:rFonts w:ascii="Calibri" w:eastAsia="Calibri" w:hAnsi="Calibri" w:cs="Times New Roman"/>
          <w:sz w:val="22"/>
          <w:szCs w:val="22"/>
          <w:lang w:val="en-GB"/>
        </w:rPr>
        <w:t>in case one has items or suggests for student assessment related to</w:t>
      </w:r>
      <w:r w:rsidR="00DF45AC">
        <w:rPr>
          <w:rFonts w:ascii="Calibri" w:eastAsia="Calibri" w:hAnsi="Calibri" w:cs="Times New Roman"/>
          <w:sz w:val="22"/>
          <w:szCs w:val="22"/>
          <w:lang w:val="en-GB"/>
        </w:rPr>
        <w:t xml:space="preserve"> </w:t>
      </w:r>
      <w:r w:rsidRPr="00CB32FE">
        <w:rPr>
          <w:rFonts w:ascii="Calibri" w:eastAsia="Calibri" w:hAnsi="Calibri" w:cs="Times New Roman"/>
          <w:sz w:val="22"/>
          <w:szCs w:val="22"/>
          <w:lang w:val="en-GB"/>
        </w:rPr>
        <w:t>the unit</w:t>
      </w:r>
    </w:p>
    <w:p w14:paraId="577505F2" w14:textId="77777777" w:rsidR="00CB32FE" w:rsidRPr="00CB32FE" w:rsidRDefault="00CB32FE" w:rsidP="00CB32FE">
      <w:pPr>
        <w:numPr>
          <w:ilvl w:val="0"/>
          <w:numId w:val="4"/>
        </w:numPr>
        <w:spacing w:after="160" w:line="259" w:lineRule="auto"/>
        <w:contextualSpacing/>
        <w:rPr>
          <w:rFonts w:ascii="Calibri" w:eastAsia="Calibri" w:hAnsi="Calibri" w:cs="Times New Roman"/>
          <w:i/>
          <w:iCs/>
          <w:sz w:val="22"/>
          <w:szCs w:val="22"/>
          <w:lang w:val="en-GB"/>
        </w:rPr>
      </w:pPr>
      <w:r w:rsidRPr="00CB32FE">
        <w:rPr>
          <w:rFonts w:ascii="Calibri" w:eastAsia="Calibri" w:hAnsi="Calibri" w:cs="Times New Roman"/>
          <w:sz w:val="22"/>
          <w:szCs w:val="22"/>
          <w:lang w:val="en-GB"/>
        </w:rPr>
        <w:t xml:space="preserve">(in case of modelling unit, developed in IO5) </w:t>
      </w:r>
      <w:bookmarkStart w:id="1" w:name="_Hlk42612985"/>
      <w:r w:rsidRPr="00CB32FE">
        <w:rPr>
          <w:rFonts w:ascii="Calibri Light" w:eastAsia="Times New Roman" w:hAnsi="Calibri Light" w:cs="Times New Roman"/>
          <w:i/>
          <w:iCs/>
          <w:color w:val="2F5496"/>
          <w:sz w:val="22"/>
          <w:szCs w:val="22"/>
          <w:lang w:val="en-GB"/>
        </w:rPr>
        <w:t>relevance of/to the real word</w:t>
      </w:r>
      <w:r w:rsidRPr="00CB32FE">
        <w:rPr>
          <w:rFonts w:ascii="Calibri" w:eastAsia="Calibri" w:hAnsi="Calibri" w:cs="Times New Roman"/>
          <w:sz w:val="22"/>
          <w:szCs w:val="22"/>
          <w:lang w:val="en-GB"/>
        </w:rPr>
        <w:t xml:space="preserve"> </w:t>
      </w:r>
      <w:bookmarkEnd w:id="1"/>
      <w:r w:rsidRPr="00CB32FE">
        <w:rPr>
          <w:rFonts w:ascii="Calibri" w:eastAsia="Calibri" w:hAnsi="Calibri" w:cs="Times New Roman"/>
          <w:sz w:val="22"/>
          <w:szCs w:val="22"/>
          <w:lang w:val="en-GB"/>
        </w:rPr>
        <w:t>(including industry)</w:t>
      </w:r>
      <w:r w:rsidRPr="00CB32FE">
        <w:rPr>
          <w:rFonts w:ascii="Calibri" w:eastAsia="Calibri" w:hAnsi="Calibri" w:cs="Times New Roman"/>
          <w:i/>
          <w:iCs/>
          <w:sz w:val="22"/>
          <w:szCs w:val="22"/>
          <w:lang w:val="en-GB"/>
        </w:rPr>
        <w:br/>
        <w:t xml:space="preserve">   </w:t>
      </w:r>
    </w:p>
    <w:p w14:paraId="3F71F233" w14:textId="339B9124" w:rsidR="00CB32FE" w:rsidRPr="00CB32FE" w:rsidRDefault="00CB32FE" w:rsidP="00CB32FE">
      <w:pPr>
        <w:keepNext/>
        <w:keepLines/>
        <w:spacing w:before="40" w:line="259" w:lineRule="auto"/>
        <w:outlineLvl w:val="1"/>
        <w:rPr>
          <w:rFonts w:ascii="Calibri Light" w:eastAsia="Times New Roman" w:hAnsi="Calibri Light" w:cs="Times New Roman"/>
          <w:color w:val="2F5496"/>
          <w:sz w:val="26"/>
          <w:szCs w:val="26"/>
          <w:lang w:val="en-GB"/>
        </w:rPr>
      </w:pPr>
      <w:bookmarkStart w:id="2" w:name="_Hlk42595721"/>
      <w:r>
        <w:rPr>
          <w:rFonts w:ascii="Calibri Light" w:eastAsia="Times New Roman" w:hAnsi="Calibri Light" w:cs="Times New Roman"/>
          <w:color w:val="2F5496"/>
          <w:sz w:val="26"/>
          <w:szCs w:val="26"/>
          <w:lang w:val="en-GB"/>
        </w:rPr>
        <w:t xml:space="preserve">B. </w:t>
      </w:r>
      <w:r w:rsidRPr="00CB32FE">
        <w:rPr>
          <w:rFonts w:ascii="Calibri Light" w:eastAsia="Times New Roman" w:hAnsi="Calibri Light" w:cs="Times New Roman"/>
          <w:color w:val="2F5496"/>
          <w:sz w:val="26"/>
          <w:szCs w:val="26"/>
          <w:lang w:val="en-GB"/>
        </w:rPr>
        <w:t>Student learning activities</w:t>
      </w:r>
    </w:p>
    <w:bookmarkEnd w:id="2"/>
    <w:p w14:paraId="11656DD7" w14:textId="77777777" w:rsidR="00CB32FE" w:rsidRPr="00CB32FE" w:rsidRDefault="00CB32FE" w:rsidP="00CB32FE">
      <w:pPr>
        <w:spacing w:line="259" w:lineRule="auto"/>
        <w:jc w:val="both"/>
        <w:rPr>
          <w:rFonts w:ascii="Calibri" w:eastAsia="Calibri" w:hAnsi="Calibri" w:cs="Times New Roman"/>
          <w:sz w:val="22"/>
          <w:szCs w:val="22"/>
          <w:lang w:val="en-GB"/>
        </w:rPr>
      </w:pPr>
      <w:r w:rsidRPr="00CB32FE">
        <w:rPr>
          <w:rFonts w:ascii="Calibri" w:eastAsia="Calibri" w:hAnsi="Calibri" w:cs="Times New Roman"/>
          <w:sz w:val="22"/>
          <w:szCs w:val="22"/>
          <w:lang w:val="en-GB"/>
        </w:rPr>
        <w:t xml:space="preserve">A description of each learning activity within the unit consists of an activity title and short descriptions of </w:t>
      </w:r>
    </w:p>
    <w:p w14:paraId="7B338660" w14:textId="77777777" w:rsidR="00CB32FE" w:rsidRPr="00CB32FE" w:rsidRDefault="00CB32FE" w:rsidP="00CB32FE">
      <w:pPr>
        <w:numPr>
          <w:ilvl w:val="0"/>
          <w:numId w:val="2"/>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learning goals</w:t>
      </w:r>
    </w:p>
    <w:p w14:paraId="02B716B3" w14:textId="77777777" w:rsidR="00CB32FE" w:rsidRPr="00CB32FE" w:rsidRDefault="00CB32FE" w:rsidP="00CB32FE">
      <w:pPr>
        <w:numPr>
          <w:ilvl w:val="0"/>
          <w:numId w:val="2"/>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significant concepts and essential questions</w:t>
      </w:r>
      <w:r w:rsidRPr="00CB32FE">
        <w:rPr>
          <w:rFonts w:ascii="Calibri" w:eastAsia="Calibri" w:hAnsi="Calibri" w:cs="Times New Roman"/>
          <w:sz w:val="22"/>
          <w:szCs w:val="22"/>
          <w:lang w:val="en-GB"/>
        </w:rPr>
        <w:t xml:space="preserve"> addressed</w:t>
      </w:r>
    </w:p>
    <w:p w14:paraId="44EE9463" w14:textId="77777777" w:rsidR="00CB32FE" w:rsidRPr="00CB32FE" w:rsidRDefault="00CB32FE" w:rsidP="00CB32FE">
      <w:pPr>
        <w:numPr>
          <w:ilvl w:val="0"/>
          <w:numId w:val="2"/>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lastRenderedPageBreak/>
        <w:t>inquiry types</w:t>
      </w:r>
      <w:r w:rsidRPr="00CB32FE">
        <w:rPr>
          <w:rFonts w:ascii="Calibri" w:eastAsia="Calibri" w:hAnsi="Calibri" w:cs="Times New Roman"/>
          <w:sz w:val="22"/>
          <w:szCs w:val="22"/>
          <w:lang w:val="en-GB"/>
        </w:rPr>
        <w:t xml:space="preserve"> and emphasis on </w:t>
      </w:r>
      <w:r w:rsidRPr="00CB32FE">
        <w:rPr>
          <w:rFonts w:ascii="Calibri Light" w:eastAsia="Times New Roman" w:hAnsi="Calibri Light" w:cs="Times New Roman"/>
          <w:i/>
          <w:iCs/>
          <w:color w:val="2F5496"/>
          <w:sz w:val="22"/>
          <w:szCs w:val="22"/>
          <w:lang w:val="en-GB"/>
        </w:rPr>
        <w:t>inquiry abilities</w:t>
      </w:r>
      <w:r w:rsidRPr="00CB32FE">
        <w:rPr>
          <w:rFonts w:ascii="Calibri" w:eastAsia="Calibri" w:hAnsi="Calibri" w:cs="Times New Roman"/>
          <w:i/>
          <w:iCs/>
          <w:sz w:val="22"/>
          <w:szCs w:val="22"/>
          <w:lang w:val="en-GB"/>
        </w:rPr>
        <w:t xml:space="preserve"> </w:t>
      </w:r>
      <w:r w:rsidRPr="00CB32FE">
        <w:rPr>
          <w:rFonts w:ascii="Calibri" w:eastAsia="Calibri" w:hAnsi="Calibri" w:cs="Times New Roman"/>
          <w:sz w:val="22"/>
          <w:szCs w:val="22"/>
          <w:lang w:val="en-GB"/>
        </w:rPr>
        <w:t>(if not already discussed in the section Information for lecturers</w:t>
      </w:r>
    </w:p>
    <w:p w14:paraId="0FBF7F20" w14:textId="77777777" w:rsidR="00CB32FE" w:rsidRPr="00CB32FE" w:rsidRDefault="00CB32FE" w:rsidP="00CB32FE">
      <w:pPr>
        <w:numPr>
          <w:ilvl w:val="0"/>
          <w:numId w:val="2"/>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 xml:space="preserve">envisioned student engagement / involvement </w:t>
      </w:r>
      <w:r w:rsidRPr="00CB32FE">
        <w:rPr>
          <w:rFonts w:ascii="Calibri" w:eastAsia="Calibri" w:hAnsi="Calibri" w:cs="Times New Roman"/>
          <w:sz w:val="22"/>
          <w:szCs w:val="22"/>
          <w:lang w:val="en-GB"/>
        </w:rPr>
        <w:t>in construction conceptual understanding</w:t>
      </w:r>
    </w:p>
    <w:p w14:paraId="407C9AFC" w14:textId="77777777" w:rsidR="00CB32FE" w:rsidRPr="00CB32FE" w:rsidRDefault="00CB32FE" w:rsidP="00CB32FE">
      <w:pPr>
        <w:numPr>
          <w:ilvl w:val="0"/>
          <w:numId w:val="2"/>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tool use</w:t>
      </w:r>
      <w:r w:rsidRPr="00CB32FE">
        <w:rPr>
          <w:rFonts w:ascii="Calibri" w:eastAsia="Calibri" w:hAnsi="Calibri" w:cs="Times New Roman"/>
          <w:sz w:val="22"/>
          <w:szCs w:val="22"/>
          <w:lang w:val="en-GB"/>
        </w:rPr>
        <w:t xml:space="preserve"> (including mentioning of materials like whiteboard, data projector, real object, …) and </w:t>
      </w:r>
      <w:r w:rsidRPr="00CB32FE">
        <w:rPr>
          <w:rFonts w:ascii="Calibri Light" w:eastAsia="Times New Roman" w:hAnsi="Calibri Light" w:cs="Times New Roman"/>
          <w:i/>
          <w:iCs/>
          <w:color w:val="2F5496"/>
          <w:sz w:val="22"/>
          <w:szCs w:val="22"/>
          <w:lang w:val="en-GB"/>
        </w:rPr>
        <w:t>supporting materials</w:t>
      </w:r>
      <w:r w:rsidRPr="00CB32FE">
        <w:rPr>
          <w:rFonts w:ascii="Calibri" w:eastAsia="Calibri" w:hAnsi="Calibri" w:cs="Times New Roman"/>
          <w:sz w:val="22"/>
          <w:szCs w:val="22"/>
          <w:lang w:val="en-GB"/>
        </w:rPr>
        <w:t xml:space="preserve"> (e.g. links to websites or other sources of information)</w:t>
      </w:r>
    </w:p>
    <w:p w14:paraId="07527D68" w14:textId="77777777" w:rsidR="00CB32FE" w:rsidRPr="00CB32FE" w:rsidRDefault="00CB32FE" w:rsidP="00CB32FE">
      <w:pPr>
        <w:numPr>
          <w:ilvl w:val="0"/>
          <w:numId w:val="2"/>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time needed</w:t>
      </w:r>
      <w:r w:rsidRPr="00CB32FE">
        <w:rPr>
          <w:rFonts w:ascii="Calibri" w:eastAsia="Calibri" w:hAnsi="Calibri" w:cs="Times New Roman"/>
          <w:sz w:val="22"/>
          <w:szCs w:val="22"/>
          <w:lang w:val="en-GB"/>
        </w:rPr>
        <w:t xml:space="preserve"> for the student activity</w:t>
      </w:r>
    </w:p>
    <w:p w14:paraId="02A1B9AE" w14:textId="77777777" w:rsidR="00CB32FE" w:rsidRPr="00CB32FE" w:rsidRDefault="00CB32FE" w:rsidP="00CB32FE">
      <w:pPr>
        <w:numPr>
          <w:ilvl w:val="0"/>
          <w:numId w:val="2"/>
        </w:numPr>
        <w:spacing w:after="160" w:line="259" w:lineRule="auto"/>
        <w:contextualSpacing/>
        <w:rPr>
          <w:rFonts w:ascii="Calibri" w:eastAsia="Calibri" w:hAnsi="Calibri" w:cs="Times New Roman"/>
          <w:i/>
          <w:iCs/>
          <w:sz w:val="22"/>
          <w:szCs w:val="22"/>
          <w:lang w:val="en-GB"/>
        </w:rPr>
      </w:pPr>
      <w:r w:rsidRPr="00CB32FE">
        <w:rPr>
          <w:rFonts w:ascii="Calibri Light" w:eastAsia="Times New Roman" w:hAnsi="Calibri Light" w:cs="Times New Roman"/>
          <w:i/>
          <w:iCs/>
          <w:color w:val="2F5496"/>
          <w:sz w:val="22"/>
          <w:szCs w:val="22"/>
          <w:lang w:val="en-GB"/>
        </w:rPr>
        <w:t>suggestions for use</w:t>
      </w:r>
      <w:r w:rsidRPr="00CB32FE">
        <w:rPr>
          <w:rFonts w:ascii="Calibri" w:eastAsia="Calibri" w:hAnsi="Calibri" w:cs="Times New Roman"/>
          <w:i/>
          <w:iCs/>
          <w:sz w:val="22"/>
          <w:szCs w:val="22"/>
          <w:lang w:val="en-GB"/>
        </w:rPr>
        <w:t xml:space="preserve"> </w:t>
      </w:r>
      <w:r w:rsidRPr="00CB32FE">
        <w:rPr>
          <w:rFonts w:ascii="Calibri" w:eastAsia="Calibri" w:hAnsi="Calibri" w:cs="Times New Roman"/>
          <w:sz w:val="22"/>
          <w:szCs w:val="22"/>
          <w:lang w:val="en-GB"/>
        </w:rPr>
        <w:br/>
        <w:t>how to carry out the activity? how to use materials? How to make it more inquiry-based? exemplary questions that a lecturer could raise)</w:t>
      </w:r>
    </w:p>
    <w:p w14:paraId="115CF2D9" w14:textId="63F4EA23" w:rsidR="00CB32FE" w:rsidRPr="00CB32FE" w:rsidRDefault="00CB32FE" w:rsidP="00CB32FE">
      <w:pPr>
        <w:keepNext/>
        <w:keepLines/>
        <w:spacing w:before="240" w:after="120" w:line="259" w:lineRule="auto"/>
        <w:outlineLvl w:val="1"/>
        <w:rPr>
          <w:rFonts w:ascii="Calibri Light" w:eastAsia="Times New Roman" w:hAnsi="Calibri Light" w:cs="Times New Roman"/>
          <w:color w:val="2F5496"/>
          <w:sz w:val="26"/>
          <w:szCs w:val="26"/>
          <w:lang w:val="en-GB"/>
        </w:rPr>
      </w:pPr>
      <w:r>
        <w:rPr>
          <w:rFonts w:ascii="Calibri Light" w:eastAsia="Times New Roman" w:hAnsi="Calibri Light" w:cs="Times New Roman"/>
          <w:color w:val="2F5496"/>
          <w:sz w:val="26"/>
          <w:szCs w:val="26"/>
          <w:lang w:val="en-GB"/>
        </w:rPr>
        <w:t xml:space="preserve">C. </w:t>
      </w:r>
      <w:r w:rsidRPr="00CB32FE">
        <w:rPr>
          <w:rFonts w:ascii="Calibri Light" w:eastAsia="Times New Roman" w:hAnsi="Calibri Light" w:cs="Times New Roman"/>
          <w:color w:val="2F5496"/>
          <w:sz w:val="26"/>
          <w:szCs w:val="26"/>
          <w:lang w:val="en-GB"/>
        </w:rPr>
        <w:t>Worksheet</w:t>
      </w:r>
      <w:r>
        <w:rPr>
          <w:rFonts w:ascii="Calibri Light" w:eastAsia="Times New Roman" w:hAnsi="Calibri Light" w:cs="Times New Roman"/>
          <w:color w:val="2F5496"/>
          <w:sz w:val="26"/>
          <w:szCs w:val="26"/>
          <w:lang w:val="en-GB"/>
        </w:rPr>
        <w:t>,</w:t>
      </w:r>
      <w:r w:rsidRPr="00CB32FE">
        <w:rPr>
          <w:rFonts w:ascii="Calibri Light" w:eastAsia="Times New Roman" w:hAnsi="Calibri Light" w:cs="Times New Roman"/>
          <w:color w:val="2F5496"/>
          <w:sz w:val="26"/>
          <w:szCs w:val="26"/>
          <w:lang w:val="en-GB"/>
        </w:rPr>
        <w:t xml:space="preserve"> files</w:t>
      </w:r>
      <w:r>
        <w:rPr>
          <w:rFonts w:ascii="Calibri Light" w:eastAsia="Times New Roman" w:hAnsi="Calibri Light" w:cs="Times New Roman"/>
          <w:color w:val="2F5496"/>
          <w:sz w:val="26"/>
          <w:szCs w:val="26"/>
          <w:lang w:val="en-GB"/>
        </w:rPr>
        <w:t>, and supplementary material</w:t>
      </w:r>
    </w:p>
    <w:p w14:paraId="35DD2FE0" w14:textId="77777777" w:rsidR="00CB32FE" w:rsidRPr="00CB32FE" w:rsidRDefault="00CB32FE" w:rsidP="00CB32FE">
      <w:pPr>
        <w:spacing w:line="259" w:lineRule="auto"/>
        <w:rPr>
          <w:rFonts w:ascii="Calibri" w:eastAsia="Calibri" w:hAnsi="Calibri" w:cs="Times New Roman"/>
          <w:sz w:val="22"/>
          <w:szCs w:val="22"/>
          <w:lang w:val="en-GB"/>
        </w:rPr>
      </w:pPr>
      <w:r w:rsidRPr="00CB32FE">
        <w:rPr>
          <w:rFonts w:ascii="Calibri" w:eastAsia="Calibri" w:hAnsi="Calibri" w:cs="Times New Roman"/>
          <w:sz w:val="22"/>
          <w:szCs w:val="22"/>
          <w:lang w:val="en-GB"/>
        </w:rPr>
        <w:t>A PLATINUM unit contains</w:t>
      </w:r>
    </w:p>
    <w:p w14:paraId="018261F8" w14:textId="77777777" w:rsidR="00CB32FE" w:rsidRPr="00CB32FE" w:rsidRDefault="00CB32FE" w:rsidP="00CB32FE">
      <w:pPr>
        <w:numPr>
          <w:ilvl w:val="0"/>
          <w:numId w:val="3"/>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student tasks and worksheets</w:t>
      </w:r>
    </w:p>
    <w:p w14:paraId="01F5266A" w14:textId="77777777" w:rsidR="00CB32FE" w:rsidRPr="00CB32FE" w:rsidRDefault="00CB32FE" w:rsidP="00CB32FE">
      <w:pPr>
        <w:numPr>
          <w:ilvl w:val="1"/>
          <w:numId w:val="3"/>
        </w:numPr>
        <w:spacing w:after="160" w:line="259" w:lineRule="auto"/>
        <w:contextualSpacing/>
        <w:rPr>
          <w:rFonts w:ascii="Calibri" w:eastAsia="Calibri" w:hAnsi="Calibri" w:cs="Times New Roman"/>
          <w:sz w:val="22"/>
          <w:szCs w:val="22"/>
          <w:lang w:val="en-GB"/>
        </w:rPr>
      </w:pPr>
      <w:r w:rsidRPr="00CB32FE">
        <w:rPr>
          <w:rFonts w:ascii="Calibri" w:eastAsia="Calibri" w:hAnsi="Calibri" w:cs="Times New Roman"/>
          <w:sz w:val="22"/>
          <w:szCs w:val="22"/>
          <w:lang w:val="en-GB"/>
        </w:rPr>
        <w:t>in source format (Word, LaTeX, …)</w:t>
      </w:r>
    </w:p>
    <w:p w14:paraId="34CF5048" w14:textId="77777777" w:rsidR="00CB32FE" w:rsidRPr="00CB32FE" w:rsidRDefault="00CB32FE" w:rsidP="00CB32FE">
      <w:pPr>
        <w:numPr>
          <w:ilvl w:val="1"/>
          <w:numId w:val="3"/>
        </w:numPr>
        <w:spacing w:after="160" w:line="259" w:lineRule="auto"/>
        <w:contextualSpacing/>
        <w:rPr>
          <w:rFonts w:ascii="Calibri" w:eastAsia="Calibri" w:hAnsi="Calibri" w:cs="Times New Roman"/>
          <w:sz w:val="22"/>
          <w:szCs w:val="22"/>
          <w:lang w:val="en-GB"/>
        </w:rPr>
      </w:pPr>
      <w:r w:rsidRPr="00CB32FE">
        <w:rPr>
          <w:rFonts w:ascii="Calibri" w:eastAsia="Calibri" w:hAnsi="Calibri" w:cs="Times New Roman"/>
          <w:sz w:val="22"/>
          <w:szCs w:val="22"/>
          <w:lang w:val="en-GB"/>
        </w:rPr>
        <w:t>in PDF format</w:t>
      </w:r>
    </w:p>
    <w:p w14:paraId="104799BC" w14:textId="77777777" w:rsidR="00CB32FE" w:rsidRPr="00CB32FE" w:rsidRDefault="00CB32FE" w:rsidP="00CB32FE">
      <w:pPr>
        <w:numPr>
          <w:ilvl w:val="0"/>
          <w:numId w:val="3"/>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auxiliary files</w:t>
      </w:r>
      <w:r w:rsidRPr="00CB32FE">
        <w:rPr>
          <w:rFonts w:ascii="Calibri" w:eastAsia="Calibri" w:hAnsi="Calibri" w:cs="Times New Roman"/>
          <w:sz w:val="22"/>
          <w:szCs w:val="22"/>
          <w:lang w:val="en-GB"/>
        </w:rPr>
        <w:t xml:space="preserve"> </w:t>
      </w:r>
      <w:r w:rsidRPr="00CB32FE">
        <w:rPr>
          <w:rFonts w:ascii="Calibri" w:eastAsia="Calibri" w:hAnsi="Calibri" w:cs="Times New Roman"/>
          <w:sz w:val="22"/>
          <w:szCs w:val="22"/>
          <w:lang w:val="en-GB"/>
        </w:rPr>
        <w:br/>
        <w:t>data files, software-specific files, simulation files, assessment sheet, reference materials, …</w:t>
      </w:r>
    </w:p>
    <w:p w14:paraId="25E175A3" w14:textId="77777777" w:rsidR="00CB32FE" w:rsidRPr="00CB32FE" w:rsidRDefault="00CB32FE" w:rsidP="00CB32FE">
      <w:pPr>
        <w:numPr>
          <w:ilvl w:val="0"/>
          <w:numId w:val="3"/>
        </w:numPr>
        <w:spacing w:after="160" w:line="259" w:lineRule="auto"/>
        <w:contextualSpacing/>
        <w:rPr>
          <w:rFonts w:ascii="Calibri" w:eastAsia="Calibri" w:hAnsi="Calibri" w:cs="Times New Roman"/>
          <w:sz w:val="22"/>
          <w:szCs w:val="22"/>
          <w:lang w:val="en-GB"/>
        </w:rPr>
      </w:pPr>
      <w:r w:rsidRPr="00CB32FE">
        <w:rPr>
          <w:rFonts w:ascii="Calibri Light" w:eastAsia="Times New Roman" w:hAnsi="Calibri Light" w:cs="Times New Roman"/>
          <w:i/>
          <w:iCs/>
          <w:color w:val="2F5496"/>
          <w:sz w:val="22"/>
          <w:szCs w:val="22"/>
          <w:lang w:val="en-GB"/>
        </w:rPr>
        <w:t>supplementary files</w:t>
      </w:r>
      <w:r w:rsidRPr="00CB32FE">
        <w:rPr>
          <w:rFonts w:ascii="Calibri" w:eastAsia="Calibri" w:hAnsi="Calibri" w:cs="Times New Roman"/>
          <w:sz w:val="22"/>
          <w:szCs w:val="22"/>
          <w:lang w:val="en-GB"/>
        </w:rPr>
        <w:t xml:space="preserve"> </w:t>
      </w:r>
      <w:r w:rsidRPr="00CB32FE">
        <w:rPr>
          <w:rFonts w:ascii="Calibri" w:eastAsia="Calibri" w:hAnsi="Calibri" w:cs="Times New Roman"/>
          <w:sz w:val="22"/>
          <w:szCs w:val="22"/>
          <w:lang w:val="en-GB"/>
        </w:rPr>
        <w:br/>
        <w:t>more detailed notes about the design of the unit and the activities, classroom experiences, related narratives, …</w:t>
      </w:r>
    </w:p>
    <w:p w14:paraId="790821F4" w14:textId="77777777" w:rsidR="00633FD8" w:rsidRDefault="00633FD8"/>
    <w:p w14:paraId="480B7BDC" w14:textId="77777777" w:rsidR="00633FD8" w:rsidRPr="00633FD8" w:rsidRDefault="00633FD8" w:rsidP="00633FD8">
      <w:pPr>
        <w:rPr>
          <w:lang w:val="en-US"/>
        </w:rPr>
      </w:pPr>
    </w:p>
    <w:sectPr w:rsidR="00633FD8" w:rsidRPr="00633FD8" w:rsidSect="00633FD8">
      <w:headerReference w:type="default" r:id="rId7"/>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4E41" w14:textId="77777777" w:rsidR="00330E2E" w:rsidRDefault="00330E2E" w:rsidP="00633FD8">
      <w:r>
        <w:separator/>
      </w:r>
    </w:p>
  </w:endnote>
  <w:endnote w:type="continuationSeparator" w:id="0">
    <w:p w14:paraId="22D75D6D" w14:textId="77777777" w:rsidR="00330E2E" w:rsidRDefault="00330E2E"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D063" w14:textId="77777777" w:rsidR="00330E2E" w:rsidRDefault="00330E2E" w:rsidP="00633FD8">
      <w:r>
        <w:separator/>
      </w:r>
    </w:p>
  </w:footnote>
  <w:footnote w:type="continuationSeparator" w:id="0">
    <w:p w14:paraId="417C3B66" w14:textId="77777777" w:rsidR="00330E2E" w:rsidRDefault="00330E2E"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8B28" w14:textId="77777777" w:rsidR="00633FD8" w:rsidRDefault="00633FD8">
    <w:pPr>
      <w:pStyle w:val="Koptekst"/>
    </w:pPr>
    <w:r>
      <w:rPr>
        <w:noProof/>
      </w:rPr>
      <w:drawing>
        <wp:anchor distT="0" distB="0" distL="114300" distR="114300" simplePos="0" relativeHeight="251658240" behindDoc="1" locked="0" layoutInCell="1" allowOverlap="1" wp14:anchorId="3BF3326A" wp14:editId="7BE1EB5D">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A24"/>
    <w:multiLevelType w:val="hybridMultilevel"/>
    <w:tmpl w:val="E2661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F751AB"/>
    <w:multiLevelType w:val="hybridMultilevel"/>
    <w:tmpl w:val="9A28A10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F9527B"/>
    <w:multiLevelType w:val="hybridMultilevel"/>
    <w:tmpl w:val="1DFE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751995"/>
    <w:multiLevelType w:val="hybridMultilevel"/>
    <w:tmpl w:val="5768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2A017C"/>
    <w:rsid w:val="00330E2E"/>
    <w:rsid w:val="003B4B13"/>
    <w:rsid w:val="0062575A"/>
    <w:rsid w:val="00633FD8"/>
    <w:rsid w:val="007238EE"/>
    <w:rsid w:val="00B51F0B"/>
    <w:rsid w:val="00CB32FE"/>
    <w:rsid w:val="00DE1F96"/>
    <w:rsid w:val="00DF45AC"/>
    <w:rsid w:val="00E444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D480"/>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3</cp:revision>
  <cp:lastPrinted>2019-01-22T09:11:00Z</cp:lastPrinted>
  <dcterms:created xsi:type="dcterms:W3CDTF">2021-06-20T09:31:00Z</dcterms:created>
  <dcterms:modified xsi:type="dcterms:W3CDTF">2021-06-20T09:32:00Z</dcterms:modified>
</cp:coreProperties>
</file>